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C7" w:rsidRDefault="00CF00C2">
      <w:pPr>
        <w:outlineLvl w:val="0"/>
        <w:rPr>
          <w:rFonts w:eastAsia="方正仿宋_GBK"/>
          <w:szCs w:val="30"/>
        </w:rPr>
      </w:pPr>
      <w:r>
        <w:rPr>
          <w:rFonts w:eastAsia="方正仿宋_GBK"/>
          <w:szCs w:val="30"/>
        </w:rPr>
        <w:t>附件</w:t>
      </w:r>
      <w:r w:rsidR="00DC669E">
        <w:rPr>
          <w:rFonts w:eastAsia="方正仿宋_GBK" w:hint="eastAsia"/>
          <w:szCs w:val="30"/>
        </w:rPr>
        <w:t>1</w:t>
      </w:r>
    </w:p>
    <w:p w:rsidR="00F736C7" w:rsidRDefault="00F736C7">
      <w:pPr>
        <w:outlineLvl w:val="0"/>
        <w:rPr>
          <w:rFonts w:eastAsia="方正仿宋_GBK"/>
          <w:szCs w:val="30"/>
        </w:rPr>
      </w:pPr>
    </w:p>
    <w:p w:rsidR="00F736C7" w:rsidRDefault="00CF00C2">
      <w:pPr>
        <w:adjustRightInd w:val="0"/>
        <w:snapToGrid w:val="0"/>
        <w:spacing w:line="300" w:lineRule="auto"/>
        <w:jc w:val="center"/>
        <w:rPr>
          <w:rFonts w:eastAsia="方正小标宋_GBK"/>
          <w:sz w:val="36"/>
          <w:szCs w:val="36"/>
        </w:rPr>
      </w:pPr>
      <w:bookmarkStart w:id="0" w:name="_GoBack"/>
      <w:r>
        <w:rPr>
          <w:rFonts w:eastAsia="方正小标宋_GBK" w:hint="eastAsia"/>
          <w:sz w:val="36"/>
          <w:szCs w:val="36"/>
        </w:rPr>
        <w:t>清远市第一届生态环境监测专业技术人员大比武</w:t>
      </w:r>
    </w:p>
    <w:p w:rsidR="00F736C7" w:rsidRDefault="00CF00C2">
      <w:pPr>
        <w:adjustRightInd w:val="0"/>
        <w:snapToGrid w:val="0"/>
        <w:spacing w:line="300" w:lineRule="auto"/>
        <w:jc w:val="center"/>
        <w:rPr>
          <w:rFonts w:eastAsia="方正小标宋_GBK"/>
          <w:spacing w:val="80"/>
          <w:sz w:val="36"/>
          <w:szCs w:val="36"/>
        </w:rPr>
      </w:pPr>
      <w:r>
        <w:rPr>
          <w:rFonts w:eastAsia="方正小标宋_GBK"/>
          <w:spacing w:val="80"/>
          <w:sz w:val="36"/>
          <w:szCs w:val="36"/>
        </w:rPr>
        <w:t>技术方案</w:t>
      </w:r>
    </w:p>
    <w:p w:rsidR="00F736C7" w:rsidRDefault="00CF00C2">
      <w:pPr>
        <w:adjustRightInd w:val="0"/>
        <w:snapToGrid w:val="0"/>
        <w:spacing w:line="300" w:lineRule="auto"/>
        <w:jc w:val="center"/>
        <w:rPr>
          <w:szCs w:val="36"/>
        </w:rPr>
      </w:pPr>
      <w:r>
        <w:rPr>
          <w:szCs w:val="36"/>
        </w:rPr>
        <w:t>（综合比武）</w:t>
      </w:r>
    </w:p>
    <w:bookmarkEnd w:id="0"/>
    <w:p w:rsidR="00F736C7" w:rsidRDefault="00F736C7">
      <w:pPr>
        <w:pStyle w:val="Style4"/>
        <w:adjustRightInd w:val="0"/>
        <w:snapToGrid w:val="0"/>
        <w:spacing w:line="360" w:lineRule="auto"/>
        <w:rPr>
          <w:rFonts w:eastAsia="仿宋_GB2312"/>
        </w:rPr>
      </w:pPr>
    </w:p>
    <w:p w:rsidR="00F736C7" w:rsidRDefault="00CF00C2">
      <w:pPr>
        <w:widowControl/>
        <w:autoSpaceDN w:val="0"/>
        <w:snapToGrid w:val="0"/>
        <w:spacing w:line="360" w:lineRule="auto"/>
        <w:ind w:firstLine="600"/>
      </w:pPr>
      <w:r>
        <w:t>为做好</w:t>
      </w:r>
      <w:r>
        <w:rPr>
          <w:rFonts w:hint="eastAsia"/>
        </w:rPr>
        <w:t>我市第一</w:t>
      </w:r>
      <w:r>
        <w:t>届生态环境监测专业技术人员大比武（综合比武）活动</w:t>
      </w:r>
      <w:r>
        <w:rPr>
          <w:rFonts w:hint="eastAsia"/>
        </w:rPr>
        <w:t>，制定本方案。</w:t>
      </w:r>
    </w:p>
    <w:p w:rsidR="00F736C7" w:rsidRDefault="00CF00C2">
      <w:pPr>
        <w:pStyle w:val="1"/>
        <w:numPr>
          <w:ilvl w:val="0"/>
          <w:numId w:val="0"/>
        </w:numPr>
        <w:tabs>
          <w:tab w:val="clear" w:pos="420"/>
        </w:tabs>
        <w:adjustRightInd w:val="0"/>
        <w:snapToGrid w:val="0"/>
        <w:rPr>
          <w:b/>
          <w:sz w:val="32"/>
          <w:szCs w:val="32"/>
        </w:rPr>
      </w:pPr>
      <w:r>
        <w:rPr>
          <w:rFonts w:hint="eastAsia"/>
          <w:b/>
          <w:sz w:val="32"/>
          <w:szCs w:val="32"/>
        </w:rPr>
        <w:t>一、理论知识考试方案</w:t>
      </w:r>
    </w:p>
    <w:p w:rsidR="00F736C7" w:rsidRDefault="00CF00C2">
      <w:pPr>
        <w:pStyle w:val="2"/>
        <w:numPr>
          <w:ilvl w:val="0"/>
          <w:numId w:val="0"/>
        </w:numPr>
        <w:tabs>
          <w:tab w:val="clear" w:pos="930"/>
        </w:tabs>
        <w:adjustRightInd w:val="0"/>
        <w:snapToGrid w:val="0"/>
        <w:ind w:left="633"/>
        <w:rPr>
          <w:rFonts w:ascii="Times New Roman" w:hAnsi="Times New Roman"/>
        </w:rPr>
      </w:pPr>
      <w:r>
        <w:rPr>
          <w:rFonts w:ascii="Times New Roman" w:hAnsi="Times New Roman"/>
        </w:rPr>
        <w:t>（一）考试要求及重点内容</w:t>
      </w:r>
    </w:p>
    <w:p w:rsidR="00F736C7" w:rsidRDefault="00CF00C2">
      <w:pPr>
        <w:widowControl/>
        <w:adjustRightInd w:val="0"/>
        <w:snapToGrid w:val="0"/>
        <w:spacing w:line="360" w:lineRule="auto"/>
        <w:ind w:firstLine="600"/>
        <w:rPr>
          <w:b/>
          <w:bCs/>
          <w:kern w:val="0"/>
          <w:szCs w:val="30"/>
        </w:rPr>
      </w:pPr>
      <w:r>
        <w:rPr>
          <w:b/>
          <w:bCs/>
          <w:kern w:val="0"/>
          <w:szCs w:val="30"/>
        </w:rPr>
        <w:t xml:space="preserve">1. </w:t>
      </w:r>
      <w:r>
        <w:rPr>
          <w:rFonts w:hint="eastAsia"/>
          <w:b/>
          <w:bCs/>
          <w:kern w:val="0"/>
          <w:szCs w:val="30"/>
        </w:rPr>
        <w:t>基本要求</w:t>
      </w:r>
    </w:p>
    <w:p w:rsidR="00F736C7" w:rsidRDefault="00CF00C2">
      <w:pPr>
        <w:widowControl/>
        <w:autoSpaceDN w:val="0"/>
        <w:snapToGrid w:val="0"/>
        <w:spacing w:line="360" w:lineRule="auto"/>
        <w:ind w:firstLine="600"/>
      </w:pPr>
      <w:r>
        <w:rPr>
          <w:rFonts w:hint="eastAsia"/>
        </w:rPr>
        <w:t>本次考试重点在于考核对生态环境监测形势与政策，以及生态环境监测技术、质量保证与质量控制、综合评价等方面基本概念、基础知识和基本技能的掌握和熟悉情况。</w:t>
      </w:r>
    </w:p>
    <w:p w:rsidR="00F736C7" w:rsidRDefault="00CF00C2">
      <w:pPr>
        <w:widowControl/>
        <w:adjustRightInd w:val="0"/>
        <w:snapToGrid w:val="0"/>
        <w:spacing w:line="360" w:lineRule="auto"/>
        <w:ind w:firstLine="600"/>
        <w:rPr>
          <w:b/>
          <w:bCs/>
          <w:kern w:val="0"/>
          <w:szCs w:val="30"/>
        </w:rPr>
      </w:pPr>
      <w:r>
        <w:rPr>
          <w:b/>
          <w:bCs/>
          <w:kern w:val="0"/>
          <w:szCs w:val="30"/>
        </w:rPr>
        <w:t xml:space="preserve">2. </w:t>
      </w:r>
      <w:r>
        <w:rPr>
          <w:rFonts w:hint="eastAsia"/>
          <w:b/>
          <w:bCs/>
          <w:kern w:val="0"/>
          <w:szCs w:val="30"/>
        </w:rPr>
        <w:t>考试范围</w:t>
      </w:r>
    </w:p>
    <w:p w:rsidR="00F736C7" w:rsidRDefault="00CF00C2">
      <w:pPr>
        <w:widowControl/>
        <w:autoSpaceDN w:val="0"/>
        <w:snapToGrid w:val="0"/>
        <w:spacing w:line="360" w:lineRule="auto"/>
        <w:ind w:firstLine="600"/>
      </w:pPr>
      <w:r>
        <w:rPr>
          <w:rFonts w:hint="eastAsia"/>
        </w:rPr>
        <w:t>考试内容涵盖</w:t>
      </w:r>
      <w:r>
        <w:rPr>
          <w:rFonts w:hint="eastAsia"/>
          <w:szCs w:val="32"/>
        </w:rPr>
        <w:t>地表水、地下水、海洋、大气、温室气体、声、固体废物、土壤、生态（含生物）</w:t>
      </w:r>
      <w:r>
        <w:rPr>
          <w:rFonts w:hint="eastAsia"/>
        </w:rPr>
        <w:t>等要素，涉及生态环境质量监测、污染源监测和环境应急监测等领域，覆盖手工监测、现场监测、在线自动监测及遥感监测等监测手段。</w:t>
      </w:r>
    </w:p>
    <w:p w:rsidR="00F736C7" w:rsidRDefault="00CF00C2">
      <w:pPr>
        <w:widowControl/>
        <w:adjustRightInd w:val="0"/>
        <w:snapToGrid w:val="0"/>
        <w:spacing w:line="360" w:lineRule="auto"/>
        <w:ind w:firstLine="600"/>
        <w:rPr>
          <w:b/>
          <w:bCs/>
          <w:kern w:val="0"/>
          <w:szCs w:val="30"/>
        </w:rPr>
      </w:pPr>
      <w:r>
        <w:rPr>
          <w:b/>
          <w:bCs/>
          <w:kern w:val="0"/>
          <w:szCs w:val="30"/>
        </w:rPr>
        <w:t xml:space="preserve">3. </w:t>
      </w:r>
      <w:r>
        <w:rPr>
          <w:rFonts w:hint="eastAsia"/>
          <w:b/>
          <w:bCs/>
          <w:kern w:val="0"/>
          <w:szCs w:val="30"/>
        </w:rPr>
        <w:t>重点内容</w:t>
      </w:r>
    </w:p>
    <w:p w:rsidR="00F736C7" w:rsidRDefault="00CF00C2">
      <w:pPr>
        <w:widowControl/>
        <w:adjustRightInd w:val="0"/>
        <w:snapToGrid w:val="0"/>
        <w:spacing w:line="360" w:lineRule="auto"/>
        <w:ind w:firstLine="600"/>
        <w:rPr>
          <w:b/>
          <w:bCs/>
          <w:kern w:val="0"/>
          <w:szCs w:val="30"/>
        </w:rPr>
      </w:pPr>
      <w:r>
        <w:rPr>
          <w:rFonts w:hint="eastAsia"/>
        </w:rPr>
        <w:t>主要内容包含生态环境监测形势与政策、生态环境保护基本知识、生态环境监测基础知识、生态环境监测相关质量标准，生态环境监测分析技术方法及技术规范、生态环境监测质量保证和质量控制知识、生态环境监测数据综合分析与评价技术方法等。</w:t>
      </w:r>
      <w:r>
        <w:rPr>
          <w:rFonts w:hint="eastAsia"/>
        </w:rPr>
        <w:lastRenderedPageBreak/>
        <w:t>其中监测技术方法、质量管理技术要求、综合评价技术方法的具体内容如下：</w:t>
      </w:r>
    </w:p>
    <w:p w:rsidR="00F736C7" w:rsidRDefault="00CF00C2">
      <w:pPr>
        <w:widowControl/>
        <w:adjustRightInd w:val="0"/>
        <w:snapToGrid w:val="0"/>
        <w:spacing w:line="360" w:lineRule="auto"/>
        <w:ind w:firstLine="600"/>
        <w:rPr>
          <w:b/>
          <w:bCs/>
          <w:kern w:val="0"/>
          <w:szCs w:val="30"/>
        </w:rPr>
      </w:pPr>
      <w:r>
        <w:rPr>
          <w:rFonts w:hint="eastAsia"/>
          <w:b/>
          <w:bCs/>
          <w:kern w:val="0"/>
          <w:szCs w:val="30"/>
        </w:rPr>
        <w:t>（</w:t>
      </w:r>
      <w:r>
        <w:rPr>
          <w:b/>
          <w:bCs/>
          <w:kern w:val="0"/>
          <w:szCs w:val="30"/>
        </w:rPr>
        <w:t>1</w:t>
      </w:r>
      <w:r>
        <w:rPr>
          <w:rFonts w:hint="eastAsia"/>
          <w:b/>
          <w:bCs/>
          <w:kern w:val="0"/>
          <w:szCs w:val="30"/>
        </w:rPr>
        <w:t>）监测技术方法</w:t>
      </w:r>
    </w:p>
    <w:p w:rsidR="00F736C7" w:rsidRDefault="00CF00C2">
      <w:pPr>
        <w:widowControl/>
        <w:autoSpaceDN w:val="0"/>
        <w:snapToGrid w:val="0"/>
        <w:spacing w:line="360" w:lineRule="auto"/>
        <w:ind w:firstLine="600"/>
      </w:pPr>
      <w:r>
        <w:rPr>
          <w:rFonts w:hint="eastAsia"/>
        </w:rPr>
        <w:t>掌握地表水、气、土和污染源监测的布点、采样、样品保存及运输的基本</w:t>
      </w:r>
      <w:r>
        <w:rPr>
          <w:rFonts w:hint="eastAsia"/>
        </w:rPr>
        <w:t>内容；实验室基本知识；容量分析的原理及应用；气相色谱（质谱）法、分光光度法和原子吸收光谱法的基本原理及其应用。熟悉环境空气自动监测及地表水自动监测技术方法；原子荧光光谱法、离子选择电极法和电感耦合等离子体质谱法的基本原理和应用；应急监测技术方法；环境噪声点位布设及监测技术方法；生态环境监测数据处理方法。了解海水、地下水、固废和生物样品采集要求；温室气体监测技术方法；液相色谱法和离子色谱法的特点和应用；生物监测方法和生态遥感监测手段。</w:t>
      </w:r>
    </w:p>
    <w:p w:rsidR="00F736C7" w:rsidRDefault="00CF00C2">
      <w:pPr>
        <w:widowControl/>
        <w:adjustRightInd w:val="0"/>
        <w:snapToGrid w:val="0"/>
        <w:spacing w:line="360" w:lineRule="auto"/>
        <w:ind w:firstLine="600"/>
        <w:rPr>
          <w:b/>
          <w:bCs/>
          <w:kern w:val="0"/>
          <w:szCs w:val="30"/>
        </w:rPr>
      </w:pPr>
      <w:r>
        <w:rPr>
          <w:rFonts w:hint="eastAsia"/>
          <w:b/>
          <w:bCs/>
          <w:kern w:val="0"/>
          <w:szCs w:val="30"/>
        </w:rPr>
        <w:t>（</w:t>
      </w:r>
      <w:r>
        <w:rPr>
          <w:b/>
          <w:bCs/>
          <w:kern w:val="0"/>
          <w:szCs w:val="30"/>
        </w:rPr>
        <w:t>2</w:t>
      </w:r>
      <w:r>
        <w:rPr>
          <w:rFonts w:hint="eastAsia"/>
          <w:b/>
          <w:bCs/>
          <w:kern w:val="0"/>
          <w:szCs w:val="30"/>
        </w:rPr>
        <w:t>）质量管理技术要求</w:t>
      </w:r>
    </w:p>
    <w:p w:rsidR="00F736C7" w:rsidRDefault="00CF00C2">
      <w:pPr>
        <w:widowControl/>
        <w:autoSpaceDN w:val="0"/>
        <w:snapToGrid w:val="0"/>
        <w:spacing w:line="360" w:lineRule="auto"/>
        <w:ind w:firstLine="600"/>
      </w:pPr>
      <w:r>
        <w:rPr>
          <w:rFonts w:hint="eastAsia"/>
        </w:rPr>
        <w:t>掌握质量管理规章制度和基本要求；质量管理体系基本概念和基础知识。熟悉检验检测机构资质认定通用要求和生态环境监测机构补充要求；生态环境监测全过程中质量保证和质量控制技术措施和应用。了解常用数理统计基础知识。</w:t>
      </w:r>
    </w:p>
    <w:p w:rsidR="00F736C7" w:rsidRDefault="00CF00C2">
      <w:pPr>
        <w:widowControl/>
        <w:adjustRightInd w:val="0"/>
        <w:snapToGrid w:val="0"/>
        <w:spacing w:line="360" w:lineRule="auto"/>
        <w:ind w:firstLine="600"/>
        <w:rPr>
          <w:b/>
          <w:bCs/>
          <w:kern w:val="0"/>
          <w:szCs w:val="30"/>
        </w:rPr>
      </w:pPr>
      <w:r>
        <w:rPr>
          <w:rFonts w:hint="eastAsia"/>
          <w:b/>
          <w:bCs/>
          <w:kern w:val="0"/>
          <w:szCs w:val="30"/>
        </w:rPr>
        <w:t>（</w:t>
      </w:r>
      <w:r>
        <w:rPr>
          <w:b/>
          <w:bCs/>
          <w:kern w:val="0"/>
          <w:szCs w:val="30"/>
        </w:rPr>
        <w:t>3</w:t>
      </w:r>
      <w:r>
        <w:rPr>
          <w:rFonts w:hint="eastAsia"/>
          <w:b/>
          <w:bCs/>
          <w:kern w:val="0"/>
          <w:szCs w:val="30"/>
        </w:rPr>
        <w:t>）综合评价技术方法</w:t>
      </w:r>
    </w:p>
    <w:p w:rsidR="00F736C7" w:rsidRDefault="00CF00C2">
      <w:pPr>
        <w:widowControl/>
        <w:autoSpaceDN w:val="0"/>
        <w:snapToGrid w:val="0"/>
        <w:spacing w:line="360" w:lineRule="auto"/>
        <w:ind w:firstLine="600"/>
      </w:pPr>
      <w:r>
        <w:rPr>
          <w:rFonts w:hint="eastAsia"/>
        </w:rPr>
        <w:t>掌握水质监测、大气监测报告的类别和特点；环境质量监测报告的基本内容。熟悉综合评价适用的相关环境标准；应急监测报告的特点和应用；环境质量综合分析方法。了解报告管理的基本程序和要求；生态环境监测报告制度的内容和要求。</w:t>
      </w:r>
    </w:p>
    <w:p w:rsidR="00F736C7" w:rsidRDefault="00CF00C2">
      <w:pPr>
        <w:pStyle w:val="2"/>
        <w:numPr>
          <w:ilvl w:val="0"/>
          <w:numId w:val="0"/>
        </w:numPr>
        <w:tabs>
          <w:tab w:val="clear" w:pos="930"/>
        </w:tabs>
        <w:adjustRightInd w:val="0"/>
        <w:snapToGrid w:val="0"/>
        <w:ind w:left="633"/>
        <w:rPr>
          <w:rFonts w:ascii="Times New Roman" w:hAnsi="Times New Roman"/>
        </w:rPr>
      </w:pPr>
      <w:r>
        <w:rPr>
          <w:rFonts w:ascii="Times New Roman" w:hAnsi="Times New Roman"/>
        </w:rPr>
        <w:lastRenderedPageBreak/>
        <w:t>（二）考试形式和题型</w:t>
      </w:r>
    </w:p>
    <w:p w:rsidR="00F736C7" w:rsidRDefault="00CF00C2">
      <w:pPr>
        <w:widowControl/>
        <w:autoSpaceDN w:val="0"/>
        <w:snapToGrid w:val="0"/>
        <w:spacing w:line="360" w:lineRule="auto"/>
        <w:ind w:firstLine="600"/>
      </w:pPr>
      <w:r>
        <w:rPr>
          <w:rFonts w:hint="eastAsia"/>
        </w:rPr>
        <w:t>考试采用闭卷方式，考试时间为</w:t>
      </w:r>
      <w:r>
        <w:t>150</w:t>
      </w:r>
      <w:r>
        <w:rPr>
          <w:rFonts w:hint="eastAsia"/>
        </w:rPr>
        <w:t>分钟，满分</w:t>
      </w:r>
      <w:r>
        <w:t>120</w:t>
      </w:r>
      <w:r>
        <w:rPr>
          <w:rFonts w:hint="eastAsia"/>
        </w:rPr>
        <w:t>分。题型包括：填空题、选择题、判断题、简答题、计算题、综合分析和论述题等。</w:t>
      </w:r>
    </w:p>
    <w:p w:rsidR="00F736C7" w:rsidRDefault="00CF00C2">
      <w:pPr>
        <w:pStyle w:val="2"/>
        <w:numPr>
          <w:ilvl w:val="0"/>
          <w:numId w:val="0"/>
        </w:numPr>
        <w:tabs>
          <w:tab w:val="clear" w:pos="930"/>
        </w:tabs>
        <w:adjustRightInd w:val="0"/>
        <w:snapToGrid w:val="0"/>
        <w:ind w:left="633"/>
        <w:rPr>
          <w:rFonts w:ascii="Times New Roman" w:hAnsi="Times New Roman"/>
        </w:rPr>
      </w:pPr>
      <w:r>
        <w:rPr>
          <w:rFonts w:ascii="Times New Roman" w:hAnsi="Times New Roman"/>
        </w:rPr>
        <w:t>（三）评分方法</w:t>
      </w:r>
    </w:p>
    <w:p w:rsidR="00F736C7" w:rsidRDefault="00CF00C2">
      <w:pPr>
        <w:widowControl/>
        <w:autoSpaceDN w:val="0"/>
        <w:snapToGrid w:val="0"/>
        <w:spacing w:line="360" w:lineRule="auto"/>
        <w:ind w:firstLine="600"/>
      </w:pPr>
      <w:r>
        <w:rPr>
          <w:rFonts w:hint="eastAsia"/>
        </w:rPr>
        <w:t>考试结束后，由专家委员会对每名参赛选手的答卷进行统一评判。每支队伍的所有参赛人员均要参加理论知识考试，且所有参赛人员个人成绩均会记入各队伍团体成绩。队伍团体成绩以所有参赛人员个人成绩总分除以参赛人数的平均值计。</w:t>
      </w:r>
    </w:p>
    <w:p w:rsidR="00F736C7" w:rsidRDefault="00CF00C2">
      <w:pPr>
        <w:pStyle w:val="2"/>
        <w:numPr>
          <w:ilvl w:val="0"/>
          <w:numId w:val="0"/>
        </w:numPr>
        <w:tabs>
          <w:tab w:val="clear" w:pos="930"/>
        </w:tabs>
        <w:adjustRightInd w:val="0"/>
        <w:snapToGrid w:val="0"/>
        <w:ind w:left="633"/>
        <w:rPr>
          <w:rFonts w:ascii="Times New Roman" w:hAnsi="Times New Roman"/>
        </w:rPr>
      </w:pPr>
      <w:r>
        <w:rPr>
          <w:rFonts w:ascii="Times New Roman" w:hAnsi="Times New Roman"/>
        </w:rPr>
        <w:t>（四）主要参考资料</w:t>
      </w:r>
    </w:p>
    <w:p w:rsidR="00F736C7" w:rsidRDefault="00CF00C2">
      <w:pPr>
        <w:ind w:firstLine="640"/>
      </w:pPr>
      <w:r>
        <w:rPr>
          <w:rFonts w:hint="eastAsia"/>
        </w:rPr>
        <w:t>考试主要参考资料包括当前生态环境监测相关形势政策类文件、现行标准规范、分析方法类书籍等，具体如下：</w:t>
      </w:r>
    </w:p>
    <w:tbl>
      <w:tblPr>
        <w:tblW w:w="8571"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1074"/>
        <w:gridCol w:w="834"/>
        <w:gridCol w:w="4314"/>
        <w:gridCol w:w="2349"/>
      </w:tblGrid>
      <w:tr w:rsidR="00F736C7">
        <w:trPr>
          <w:tblHeader/>
          <w:jc w:val="center"/>
        </w:trPr>
        <w:tc>
          <w:tcPr>
            <w:tcW w:w="1074" w:type="dxa"/>
            <w:noWrap/>
            <w:vAlign w:val="center"/>
          </w:tcPr>
          <w:p w:rsidR="00F736C7" w:rsidRDefault="00CF00C2">
            <w:pPr>
              <w:adjustRightInd w:val="0"/>
              <w:snapToGrid w:val="0"/>
              <w:jc w:val="center"/>
              <w:rPr>
                <w:rFonts w:eastAsia="黑体"/>
                <w:sz w:val="28"/>
                <w:szCs w:val="28"/>
              </w:rPr>
            </w:pPr>
            <w:r>
              <w:rPr>
                <w:rFonts w:eastAsia="黑体" w:hint="eastAsia"/>
                <w:sz w:val="28"/>
                <w:szCs w:val="28"/>
              </w:rPr>
              <w:t>类别</w:t>
            </w:r>
          </w:p>
        </w:tc>
        <w:tc>
          <w:tcPr>
            <w:tcW w:w="834" w:type="dxa"/>
            <w:noWrap/>
            <w:vAlign w:val="center"/>
          </w:tcPr>
          <w:p w:rsidR="00F736C7" w:rsidRDefault="00CF00C2">
            <w:pPr>
              <w:adjustRightInd w:val="0"/>
              <w:snapToGrid w:val="0"/>
              <w:jc w:val="center"/>
              <w:rPr>
                <w:rFonts w:eastAsia="黑体"/>
                <w:sz w:val="28"/>
                <w:szCs w:val="28"/>
              </w:rPr>
            </w:pPr>
            <w:r>
              <w:rPr>
                <w:rFonts w:eastAsia="黑体" w:hint="eastAsia"/>
                <w:sz w:val="28"/>
                <w:szCs w:val="28"/>
              </w:rPr>
              <w:t>序号</w:t>
            </w:r>
          </w:p>
        </w:tc>
        <w:tc>
          <w:tcPr>
            <w:tcW w:w="4314" w:type="dxa"/>
            <w:noWrap/>
            <w:vAlign w:val="center"/>
          </w:tcPr>
          <w:p w:rsidR="00F736C7" w:rsidRDefault="00CF00C2">
            <w:pPr>
              <w:adjustRightInd w:val="0"/>
              <w:snapToGrid w:val="0"/>
              <w:jc w:val="center"/>
              <w:rPr>
                <w:rFonts w:eastAsia="黑体"/>
                <w:sz w:val="28"/>
                <w:szCs w:val="28"/>
              </w:rPr>
            </w:pPr>
            <w:r>
              <w:rPr>
                <w:rFonts w:eastAsia="黑体" w:hint="eastAsia"/>
                <w:sz w:val="28"/>
                <w:szCs w:val="28"/>
              </w:rPr>
              <w:t>名称</w:t>
            </w:r>
          </w:p>
        </w:tc>
        <w:tc>
          <w:tcPr>
            <w:tcW w:w="2349" w:type="dxa"/>
            <w:noWrap/>
            <w:vAlign w:val="center"/>
          </w:tcPr>
          <w:p w:rsidR="00F736C7" w:rsidRDefault="00CF00C2">
            <w:pPr>
              <w:adjustRightInd w:val="0"/>
              <w:snapToGrid w:val="0"/>
              <w:jc w:val="center"/>
              <w:rPr>
                <w:rFonts w:eastAsia="黑体"/>
                <w:sz w:val="28"/>
                <w:szCs w:val="28"/>
              </w:rPr>
            </w:pPr>
            <w:r>
              <w:rPr>
                <w:rFonts w:eastAsia="黑体" w:hint="eastAsia"/>
                <w:sz w:val="28"/>
                <w:szCs w:val="28"/>
              </w:rPr>
              <w:t>备注</w:t>
            </w:r>
          </w:p>
        </w:tc>
      </w:tr>
      <w:tr w:rsidR="00F736C7">
        <w:trPr>
          <w:jc w:val="center"/>
        </w:trPr>
        <w:tc>
          <w:tcPr>
            <w:tcW w:w="1074" w:type="dxa"/>
            <w:vMerge w:val="restart"/>
            <w:noWrap/>
            <w:vAlign w:val="center"/>
          </w:tcPr>
          <w:p w:rsidR="00F736C7" w:rsidRDefault="00CF00C2">
            <w:pPr>
              <w:adjustRightInd w:val="0"/>
              <w:snapToGrid w:val="0"/>
              <w:jc w:val="center"/>
              <w:rPr>
                <w:sz w:val="21"/>
                <w:szCs w:val="21"/>
              </w:rPr>
            </w:pPr>
            <w:r>
              <w:rPr>
                <w:rFonts w:hint="eastAsia"/>
                <w:sz w:val="21"/>
                <w:szCs w:val="21"/>
              </w:rPr>
              <w:t>形势政策</w:t>
            </w:r>
          </w:p>
        </w:tc>
        <w:tc>
          <w:tcPr>
            <w:tcW w:w="834" w:type="dxa"/>
            <w:noWrap/>
            <w:vAlign w:val="center"/>
          </w:tcPr>
          <w:p w:rsidR="00F736C7" w:rsidRDefault="00CF00C2">
            <w:pPr>
              <w:adjustRightInd w:val="0"/>
              <w:snapToGrid w:val="0"/>
              <w:jc w:val="center"/>
              <w:rPr>
                <w:sz w:val="21"/>
                <w:szCs w:val="21"/>
              </w:rPr>
            </w:pPr>
            <w:r>
              <w:rPr>
                <w:sz w:val="21"/>
                <w:szCs w:val="21"/>
              </w:rPr>
              <w:t>1</w:t>
            </w:r>
          </w:p>
        </w:tc>
        <w:tc>
          <w:tcPr>
            <w:tcW w:w="4314" w:type="dxa"/>
            <w:noWrap/>
            <w:vAlign w:val="center"/>
          </w:tcPr>
          <w:p w:rsidR="00F736C7" w:rsidRDefault="00CF00C2">
            <w:pPr>
              <w:adjustRightInd w:val="0"/>
              <w:snapToGrid w:val="0"/>
              <w:spacing w:line="264" w:lineRule="auto"/>
              <w:jc w:val="center"/>
              <w:rPr>
                <w:sz w:val="21"/>
                <w:szCs w:val="21"/>
              </w:rPr>
            </w:pPr>
            <w:r>
              <w:rPr>
                <w:rFonts w:hint="eastAsia"/>
                <w:sz w:val="21"/>
                <w:szCs w:val="21"/>
              </w:rPr>
              <w:t>生态环境监测网络建设方案</w:t>
            </w:r>
          </w:p>
          <w:p w:rsidR="00F736C7" w:rsidRDefault="00CF00C2">
            <w:pPr>
              <w:adjustRightInd w:val="0"/>
              <w:snapToGrid w:val="0"/>
              <w:spacing w:line="264" w:lineRule="auto"/>
              <w:jc w:val="center"/>
              <w:rPr>
                <w:sz w:val="21"/>
                <w:szCs w:val="21"/>
              </w:rPr>
            </w:pPr>
            <w:r>
              <w:rPr>
                <w:rFonts w:hint="eastAsia"/>
                <w:sz w:val="21"/>
                <w:szCs w:val="21"/>
              </w:rPr>
              <w:t>（国办发</w:t>
            </w:r>
            <w:r>
              <w:rPr>
                <w:rFonts w:cs="宋体" w:hint="eastAsia"/>
                <w:sz w:val="21"/>
                <w:szCs w:val="21"/>
              </w:rPr>
              <w:t>﹝</w:t>
            </w:r>
            <w:r>
              <w:rPr>
                <w:sz w:val="21"/>
                <w:szCs w:val="21"/>
              </w:rPr>
              <w:t>2015</w:t>
            </w:r>
            <w:r>
              <w:rPr>
                <w:rFonts w:cs="宋体" w:hint="eastAsia"/>
                <w:sz w:val="21"/>
                <w:szCs w:val="21"/>
              </w:rPr>
              <w:t>﹞</w:t>
            </w:r>
            <w:r>
              <w:rPr>
                <w:sz w:val="21"/>
                <w:szCs w:val="21"/>
              </w:rPr>
              <w:t>56</w:t>
            </w:r>
            <w:r>
              <w:rPr>
                <w:rFonts w:hint="eastAsia"/>
                <w:sz w:val="21"/>
                <w:szCs w:val="21"/>
              </w:rPr>
              <w:t>号）</w:t>
            </w:r>
          </w:p>
        </w:tc>
        <w:tc>
          <w:tcPr>
            <w:tcW w:w="2349" w:type="dxa"/>
            <w:noWrap/>
            <w:vAlign w:val="center"/>
          </w:tcPr>
          <w:p w:rsidR="00F736C7" w:rsidRDefault="00F736C7">
            <w:pPr>
              <w:adjustRightInd w:val="0"/>
              <w:snapToGrid w:val="0"/>
              <w:spacing w:line="264" w:lineRule="auto"/>
              <w:jc w:val="center"/>
              <w:rPr>
                <w:sz w:val="21"/>
                <w:szCs w:val="21"/>
              </w:rPr>
            </w:pPr>
          </w:p>
        </w:tc>
      </w:tr>
      <w:tr w:rsidR="00F736C7">
        <w:trPr>
          <w:jc w:val="center"/>
        </w:trPr>
        <w:tc>
          <w:tcPr>
            <w:tcW w:w="1074" w:type="dxa"/>
            <w:vMerge/>
            <w:noWrap/>
            <w:vAlign w:val="center"/>
          </w:tcPr>
          <w:p w:rsidR="00F736C7" w:rsidRDefault="00F736C7">
            <w:pPr>
              <w:adjustRightInd w:val="0"/>
              <w:snapToGrid w:val="0"/>
              <w:jc w:val="center"/>
              <w:rPr>
                <w:sz w:val="21"/>
                <w:szCs w:val="21"/>
              </w:rPr>
            </w:pPr>
          </w:p>
        </w:tc>
        <w:tc>
          <w:tcPr>
            <w:tcW w:w="834" w:type="dxa"/>
            <w:noWrap/>
            <w:vAlign w:val="center"/>
          </w:tcPr>
          <w:p w:rsidR="00F736C7" w:rsidRDefault="00CF00C2">
            <w:pPr>
              <w:adjustRightInd w:val="0"/>
              <w:snapToGrid w:val="0"/>
              <w:jc w:val="center"/>
              <w:rPr>
                <w:sz w:val="21"/>
                <w:szCs w:val="21"/>
              </w:rPr>
            </w:pPr>
            <w:r>
              <w:rPr>
                <w:sz w:val="21"/>
                <w:szCs w:val="21"/>
              </w:rPr>
              <w:t>2</w:t>
            </w:r>
          </w:p>
        </w:tc>
        <w:tc>
          <w:tcPr>
            <w:tcW w:w="4314" w:type="dxa"/>
            <w:noWrap/>
            <w:vAlign w:val="center"/>
          </w:tcPr>
          <w:p w:rsidR="00F736C7" w:rsidRDefault="00CF00C2">
            <w:pPr>
              <w:adjustRightInd w:val="0"/>
              <w:snapToGrid w:val="0"/>
              <w:spacing w:line="264" w:lineRule="auto"/>
              <w:jc w:val="center"/>
              <w:rPr>
                <w:sz w:val="21"/>
                <w:szCs w:val="21"/>
              </w:rPr>
            </w:pPr>
            <w:r>
              <w:rPr>
                <w:rFonts w:hint="eastAsia"/>
                <w:sz w:val="21"/>
                <w:szCs w:val="21"/>
              </w:rPr>
              <w:t>关于省以下</w:t>
            </w:r>
            <w:hyperlink r:id="rId8" w:tgtFrame="_blank" w:tooltip="环保机构新闻专题" w:history="1">
              <w:r>
                <w:rPr>
                  <w:rFonts w:hint="eastAsia"/>
                  <w:sz w:val="21"/>
                  <w:szCs w:val="21"/>
                </w:rPr>
                <w:t>环保机构</w:t>
              </w:r>
            </w:hyperlink>
            <w:r>
              <w:rPr>
                <w:rFonts w:hint="eastAsia"/>
                <w:sz w:val="21"/>
                <w:szCs w:val="21"/>
              </w:rPr>
              <w:t>监测监察执法</w:t>
            </w:r>
            <w:hyperlink r:id="rId9" w:tgtFrame="_blank" w:tooltip="垂直管理新闻专题" w:history="1">
              <w:r>
                <w:rPr>
                  <w:rFonts w:hint="eastAsia"/>
                  <w:sz w:val="21"/>
                  <w:szCs w:val="21"/>
                </w:rPr>
                <w:t>垂直管理</w:t>
              </w:r>
            </w:hyperlink>
            <w:r>
              <w:rPr>
                <w:rFonts w:hint="eastAsia"/>
                <w:sz w:val="21"/>
                <w:szCs w:val="21"/>
              </w:rPr>
              <w:t>制度改革试点工作的指导意见（中办发</w:t>
            </w:r>
            <w:r>
              <w:rPr>
                <w:rFonts w:cs="宋体" w:hint="eastAsia"/>
                <w:sz w:val="21"/>
                <w:szCs w:val="21"/>
              </w:rPr>
              <w:t>﹝</w:t>
            </w:r>
            <w:r>
              <w:rPr>
                <w:sz w:val="21"/>
                <w:szCs w:val="21"/>
              </w:rPr>
              <w:t>2016</w:t>
            </w:r>
            <w:r>
              <w:rPr>
                <w:rFonts w:cs="宋体" w:hint="eastAsia"/>
                <w:sz w:val="21"/>
                <w:szCs w:val="21"/>
              </w:rPr>
              <w:t>﹞</w:t>
            </w:r>
            <w:r>
              <w:rPr>
                <w:sz w:val="21"/>
                <w:szCs w:val="21"/>
              </w:rPr>
              <w:t>63</w:t>
            </w:r>
            <w:r>
              <w:rPr>
                <w:rFonts w:hint="eastAsia"/>
                <w:sz w:val="21"/>
                <w:szCs w:val="21"/>
              </w:rPr>
              <w:t>号）</w:t>
            </w:r>
          </w:p>
        </w:tc>
        <w:tc>
          <w:tcPr>
            <w:tcW w:w="2349" w:type="dxa"/>
            <w:noWrap/>
            <w:vAlign w:val="center"/>
          </w:tcPr>
          <w:p w:rsidR="00F736C7" w:rsidRDefault="00F736C7">
            <w:pPr>
              <w:adjustRightInd w:val="0"/>
              <w:snapToGrid w:val="0"/>
              <w:spacing w:line="264" w:lineRule="auto"/>
              <w:jc w:val="center"/>
              <w:rPr>
                <w:sz w:val="21"/>
                <w:szCs w:val="21"/>
              </w:rPr>
            </w:pPr>
          </w:p>
        </w:tc>
      </w:tr>
      <w:tr w:rsidR="00F736C7">
        <w:trPr>
          <w:jc w:val="center"/>
        </w:trPr>
        <w:tc>
          <w:tcPr>
            <w:tcW w:w="1074" w:type="dxa"/>
            <w:vMerge/>
            <w:noWrap/>
            <w:vAlign w:val="center"/>
          </w:tcPr>
          <w:p w:rsidR="00F736C7" w:rsidRDefault="00F736C7">
            <w:pPr>
              <w:adjustRightInd w:val="0"/>
              <w:snapToGrid w:val="0"/>
              <w:jc w:val="center"/>
              <w:rPr>
                <w:sz w:val="21"/>
                <w:szCs w:val="21"/>
              </w:rPr>
            </w:pPr>
          </w:p>
        </w:tc>
        <w:tc>
          <w:tcPr>
            <w:tcW w:w="834" w:type="dxa"/>
            <w:noWrap/>
            <w:vAlign w:val="center"/>
          </w:tcPr>
          <w:p w:rsidR="00F736C7" w:rsidRDefault="00CF00C2">
            <w:pPr>
              <w:adjustRightInd w:val="0"/>
              <w:snapToGrid w:val="0"/>
              <w:jc w:val="center"/>
              <w:rPr>
                <w:sz w:val="21"/>
                <w:szCs w:val="21"/>
              </w:rPr>
            </w:pPr>
            <w:r>
              <w:rPr>
                <w:sz w:val="21"/>
                <w:szCs w:val="21"/>
              </w:rPr>
              <w:t>3</w:t>
            </w:r>
          </w:p>
        </w:tc>
        <w:tc>
          <w:tcPr>
            <w:tcW w:w="4314" w:type="dxa"/>
            <w:noWrap/>
            <w:vAlign w:val="center"/>
          </w:tcPr>
          <w:p w:rsidR="00F736C7" w:rsidRDefault="00CF00C2">
            <w:pPr>
              <w:adjustRightInd w:val="0"/>
              <w:snapToGrid w:val="0"/>
              <w:spacing w:line="264" w:lineRule="auto"/>
              <w:jc w:val="center"/>
              <w:rPr>
                <w:sz w:val="21"/>
                <w:szCs w:val="21"/>
              </w:rPr>
            </w:pPr>
            <w:r>
              <w:rPr>
                <w:rFonts w:hint="eastAsia"/>
                <w:sz w:val="21"/>
                <w:szCs w:val="21"/>
              </w:rPr>
              <w:t>关于深化环境监测改革提高环境监测数据质量的指导意见</w:t>
            </w:r>
          </w:p>
          <w:p w:rsidR="00F736C7" w:rsidRDefault="00CF00C2">
            <w:pPr>
              <w:adjustRightInd w:val="0"/>
              <w:snapToGrid w:val="0"/>
              <w:spacing w:line="264" w:lineRule="auto"/>
              <w:jc w:val="center"/>
              <w:rPr>
                <w:sz w:val="21"/>
                <w:szCs w:val="21"/>
              </w:rPr>
            </w:pPr>
            <w:r>
              <w:rPr>
                <w:rFonts w:hint="eastAsia"/>
                <w:sz w:val="21"/>
                <w:szCs w:val="21"/>
              </w:rPr>
              <w:t>（厅字〔</w:t>
            </w:r>
            <w:r>
              <w:rPr>
                <w:sz w:val="21"/>
                <w:szCs w:val="21"/>
              </w:rPr>
              <w:t>2017</w:t>
            </w:r>
            <w:r>
              <w:rPr>
                <w:rFonts w:hint="eastAsia"/>
                <w:sz w:val="21"/>
                <w:szCs w:val="21"/>
              </w:rPr>
              <w:t>〕</w:t>
            </w:r>
            <w:r>
              <w:rPr>
                <w:sz w:val="21"/>
                <w:szCs w:val="21"/>
              </w:rPr>
              <w:t>35</w:t>
            </w:r>
            <w:r>
              <w:rPr>
                <w:rFonts w:hint="eastAsia"/>
                <w:sz w:val="21"/>
                <w:szCs w:val="21"/>
              </w:rPr>
              <w:t>号）</w:t>
            </w:r>
          </w:p>
        </w:tc>
        <w:tc>
          <w:tcPr>
            <w:tcW w:w="2349" w:type="dxa"/>
            <w:noWrap/>
            <w:vAlign w:val="center"/>
          </w:tcPr>
          <w:p w:rsidR="00F736C7" w:rsidRDefault="00F736C7">
            <w:pPr>
              <w:adjustRightInd w:val="0"/>
              <w:snapToGrid w:val="0"/>
              <w:spacing w:line="264" w:lineRule="auto"/>
              <w:jc w:val="center"/>
              <w:rPr>
                <w:sz w:val="21"/>
                <w:szCs w:val="21"/>
              </w:rPr>
            </w:pPr>
          </w:p>
        </w:tc>
      </w:tr>
      <w:tr w:rsidR="00F736C7">
        <w:trPr>
          <w:jc w:val="center"/>
        </w:trPr>
        <w:tc>
          <w:tcPr>
            <w:tcW w:w="1074" w:type="dxa"/>
            <w:vMerge/>
            <w:noWrap/>
            <w:vAlign w:val="center"/>
          </w:tcPr>
          <w:p w:rsidR="00F736C7" w:rsidRDefault="00F736C7">
            <w:pPr>
              <w:adjustRightInd w:val="0"/>
              <w:snapToGrid w:val="0"/>
              <w:jc w:val="center"/>
              <w:rPr>
                <w:sz w:val="21"/>
                <w:szCs w:val="21"/>
              </w:rPr>
            </w:pPr>
          </w:p>
        </w:tc>
        <w:tc>
          <w:tcPr>
            <w:tcW w:w="834" w:type="dxa"/>
            <w:noWrap/>
            <w:vAlign w:val="center"/>
          </w:tcPr>
          <w:p w:rsidR="00F736C7" w:rsidRDefault="00CF00C2">
            <w:pPr>
              <w:adjustRightInd w:val="0"/>
              <w:snapToGrid w:val="0"/>
              <w:jc w:val="center"/>
              <w:rPr>
                <w:sz w:val="21"/>
                <w:szCs w:val="21"/>
              </w:rPr>
            </w:pPr>
            <w:r>
              <w:rPr>
                <w:sz w:val="21"/>
                <w:szCs w:val="21"/>
              </w:rPr>
              <w:t>4</w:t>
            </w:r>
          </w:p>
        </w:tc>
        <w:tc>
          <w:tcPr>
            <w:tcW w:w="4314" w:type="dxa"/>
            <w:noWrap/>
            <w:vAlign w:val="center"/>
          </w:tcPr>
          <w:p w:rsidR="00F736C7" w:rsidRDefault="00CF00C2">
            <w:pPr>
              <w:adjustRightInd w:val="0"/>
              <w:snapToGrid w:val="0"/>
              <w:spacing w:line="264" w:lineRule="auto"/>
              <w:jc w:val="center"/>
              <w:rPr>
                <w:sz w:val="21"/>
                <w:szCs w:val="21"/>
              </w:rPr>
            </w:pPr>
            <w:r>
              <w:rPr>
                <w:rFonts w:hint="eastAsia"/>
                <w:sz w:val="21"/>
                <w:szCs w:val="21"/>
              </w:rPr>
              <w:t>检验检测机构资质认定生态环境监测机构评审补充要求</w:t>
            </w:r>
          </w:p>
          <w:p w:rsidR="00F736C7" w:rsidRDefault="00CF00C2">
            <w:pPr>
              <w:adjustRightInd w:val="0"/>
              <w:snapToGrid w:val="0"/>
              <w:spacing w:line="264" w:lineRule="auto"/>
              <w:jc w:val="center"/>
              <w:rPr>
                <w:sz w:val="21"/>
                <w:szCs w:val="21"/>
              </w:rPr>
            </w:pPr>
            <w:r>
              <w:rPr>
                <w:rFonts w:hint="eastAsia"/>
                <w:sz w:val="21"/>
                <w:szCs w:val="21"/>
              </w:rPr>
              <w:t>（国市监检测〔</w:t>
            </w:r>
            <w:r>
              <w:rPr>
                <w:sz w:val="21"/>
                <w:szCs w:val="21"/>
              </w:rPr>
              <w:t>2018</w:t>
            </w:r>
            <w:r>
              <w:rPr>
                <w:rFonts w:hint="eastAsia"/>
                <w:sz w:val="21"/>
                <w:szCs w:val="21"/>
              </w:rPr>
              <w:t>〕</w:t>
            </w:r>
            <w:r>
              <w:rPr>
                <w:sz w:val="21"/>
                <w:szCs w:val="21"/>
              </w:rPr>
              <w:t>245</w:t>
            </w:r>
            <w:r>
              <w:rPr>
                <w:rFonts w:hint="eastAsia"/>
                <w:sz w:val="21"/>
                <w:szCs w:val="21"/>
              </w:rPr>
              <w:t>号）</w:t>
            </w:r>
          </w:p>
        </w:tc>
        <w:tc>
          <w:tcPr>
            <w:tcW w:w="2349" w:type="dxa"/>
            <w:noWrap/>
            <w:vAlign w:val="center"/>
          </w:tcPr>
          <w:p w:rsidR="00F736C7" w:rsidRDefault="00F736C7">
            <w:pPr>
              <w:adjustRightInd w:val="0"/>
              <w:snapToGrid w:val="0"/>
              <w:spacing w:line="264" w:lineRule="auto"/>
              <w:jc w:val="center"/>
              <w:rPr>
                <w:sz w:val="21"/>
                <w:szCs w:val="21"/>
              </w:rPr>
            </w:pPr>
          </w:p>
        </w:tc>
      </w:tr>
      <w:tr w:rsidR="00F736C7">
        <w:trPr>
          <w:jc w:val="center"/>
        </w:trPr>
        <w:tc>
          <w:tcPr>
            <w:tcW w:w="1074" w:type="dxa"/>
            <w:vMerge/>
            <w:noWrap/>
            <w:vAlign w:val="center"/>
          </w:tcPr>
          <w:p w:rsidR="00F736C7" w:rsidRDefault="00F736C7">
            <w:pPr>
              <w:adjustRightInd w:val="0"/>
              <w:snapToGrid w:val="0"/>
              <w:jc w:val="center"/>
              <w:rPr>
                <w:sz w:val="21"/>
                <w:szCs w:val="21"/>
              </w:rPr>
            </w:pPr>
          </w:p>
        </w:tc>
        <w:tc>
          <w:tcPr>
            <w:tcW w:w="834" w:type="dxa"/>
            <w:noWrap/>
            <w:vAlign w:val="center"/>
          </w:tcPr>
          <w:p w:rsidR="00F736C7" w:rsidRDefault="00CF00C2">
            <w:pPr>
              <w:adjustRightInd w:val="0"/>
              <w:snapToGrid w:val="0"/>
              <w:jc w:val="center"/>
              <w:rPr>
                <w:sz w:val="21"/>
                <w:szCs w:val="21"/>
              </w:rPr>
            </w:pPr>
            <w:r>
              <w:rPr>
                <w:rFonts w:hint="eastAsia"/>
                <w:sz w:val="21"/>
                <w:szCs w:val="21"/>
              </w:rPr>
              <w:t>5</w:t>
            </w:r>
          </w:p>
        </w:tc>
        <w:tc>
          <w:tcPr>
            <w:tcW w:w="4314" w:type="dxa"/>
            <w:noWrap/>
            <w:vAlign w:val="center"/>
          </w:tcPr>
          <w:p w:rsidR="00F736C7" w:rsidRDefault="00CF00C2">
            <w:pPr>
              <w:adjustRightInd w:val="0"/>
              <w:snapToGrid w:val="0"/>
              <w:spacing w:line="264" w:lineRule="auto"/>
              <w:jc w:val="center"/>
              <w:rPr>
                <w:sz w:val="21"/>
                <w:szCs w:val="21"/>
              </w:rPr>
            </w:pPr>
            <w:r>
              <w:rPr>
                <w:rFonts w:hint="eastAsia"/>
                <w:sz w:val="21"/>
                <w:szCs w:val="21"/>
              </w:rPr>
              <w:t>国家和各级生态环境主管部门对生态环境监测的工作要求</w:t>
            </w:r>
          </w:p>
        </w:tc>
        <w:tc>
          <w:tcPr>
            <w:tcW w:w="2349" w:type="dxa"/>
            <w:noWrap/>
            <w:vAlign w:val="center"/>
          </w:tcPr>
          <w:p w:rsidR="00F736C7" w:rsidRDefault="00F736C7">
            <w:pPr>
              <w:adjustRightInd w:val="0"/>
              <w:snapToGrid w:val="0"/>
              <w:spacing w:line="264" w:lineRule="auto"/>
              <w:jc w:val="center"/>
              <w:rPr>
                <w:sz w:val="21"/>
                <w:szCs w:val="21"/>
              </w:rPr>
            </w:pPr>
          </w:p>
        </w:tc>
      </w:tr>
      <w:tr w:rsidR="00F736C7">
        <w:trPr>
          <w:jc w:val="center"/>
        </w:trPr>
        <w:tc>
          <w:tcPr>
            <w:tcW w:w="1074" w:type="dxa"/>
            <w:vMerge w:val="restart"/>
            <w:noWrap/>
            <w:vAlign w:val="center"/>
          </w:tcPr>
          <w:p w:rsidR="00F736C7" w:rsidRDefault="00CF00C2">
            <w:pPr>
              <w:adjustRightInd w:val="0"/>
              <w:snapToGrid w:val="0"/>
              <w:jc w:val="center"/>
              <w:rPr>
                <w:sz w:val="21"/>
                <w:szCs w:val="21"/>
              </w:rPr>
            </w:pPr>
            <w:r>
              <w:rPr>
                <w:rFonts w:hint="eastAsia"/>
                <w:sz w:val="21"/>
                <w:szCs w:val="21"/>
              </w:rPr>
              <w:t>现行相关标准和技术规范</w:t>
            </w:r>
          </w:p>
        </w:tc>
        <w:tc>
          <w:tcPr>
            <w:tcW w:w="834" w:type="dxa"/>
            <w:noWrap/>
            <w:vAlign w:val="center"/>
          </w:tcPr>
          <w:p w:rsidR="00F736C7" w:rsidRDefault="00CF00C2">
            <w:pPr>
              <w:adjustRightInd w:val="0"/>
              <w:snapToGrid w:val="0"/>
              <w:jc w:val="center"/>
              <w:rPr>
                <w:sz w:val="21"/>
                <w:szCs w:val="21"/>
              </w:rPr>
            </w:pPr>
            <w:r>
              <w:rPr>
                <w:sz w:val="21"/>
                <w:szCs w:val="21"/>
              </w:rPr>
              <w:t>1</w:t>
            </w:r>
          </w:p>
        </w:tc>
        <w:tc>
          <w:tcPr>
            <w:tcW w:w="4314" w:type="dxa"/>
            <w:noWrap/>
            <w:vAlign w:val="center"/>
          </w:tcPr>
          <w:p w:rsidR="00F736C7" w:rsidRDefault="00CF00C2">
            <w:pPr>
              <w:adjustRightInd w:val="0"/>
              <w:snapToGrid w:val="0"/>
              <w:spacing w:line="264" w:lineRule="auto"/>
              <w:jc w:val="center"/>
              <w:rPr>
                <w:sz w:val="21"/>
                <w:szCs w:val="21"/>
              </w:rPr>
            </w:pPr>
            <w:r>
              <w:rPr>
                <w:rFonts w:hint="eastAsia"/>
                <w:sz w:val="21"/>
                <w:szCs w:val="21"/>
              </w:rPr>
              <w:t>质量标准包括：地表水环境质量标准（</w:t>
            </w:r>
            <w:r>
              <w:rPr>
                <w:sz w:val="21"/>
                <w:szCs w:val="21"/>
              </w:rPr>
              <w:t>GB 3838-2002</w:t>
            </w:r>
            <w:r>
              <w:rPr>
                <w:rFonts w:hint="eastAsia"/>
                <w:sz w:val="21"/>
                <w:szCs w:val="21"/>
              </w:rPr>
              <w:t>）</w:t>
            </w:r>
            <w:r>
              <w:rPr>
                <w:sz w:val="21"/>
                <w:szCs w:val="21"/>
              </w:rPr>
              <w:t>;</w:t>
            </w:r>
            <w:r>
              <w:rPr>
                <w:rFonts w:hint="eastAsia"/>
                <w:sz w:val="21"/>
                <w:szCs w:val="21"/>
              </w:rPr>
              <w:t>地下水质量标准（</w:t>
            </w:r>
            <w:r>
              <w:rPr>
                <w:sz w:val="21"/>
                <w:szCs w:val="21"/>
              </w:rPr>
              <w:t>GB</w:t>
            </w:r>
            <w:r>
              <w:rPr>
                <w:rFonts w:hint="eastAsia"/>
                <w:color w:val="0000FF"/>
                <w:sz w:val="21"/>
                <w:szCs w:val="21"/>
              </w:rPr>
              <w:t>/</w:t>
            </w:r>
            <w:r>
              <w:rPr>
                <w:rFonts w:hint="eastAsia"/>
                <w:sz w:val="21"/>
                <w:szCs w:val="21"/>
              </w:rPr>
              <w:t>T</w:t>
            </w:r>
            <w:r>
              <w:rPr>
                <w:sz w:val="21"/>
                <w:szCs w:val="21"/>
              </w:rPr>
              <w:t>14848 -2017</w:t>
            </w:r>
            <w:r>
              <w:rPr>
                <w:rFonts w:hint="eastAsia"/>
                <w:sz w:val="21"/>
                <w:szCs w:val="21"/>
              </w:rPr>
              <w:t>）</w:t>
            </w:r>
            <w:r>
              <w:rPr>
                <w:sz w:val="21"/>
                <w:szCs w:val="21"/>
              </w:rPr>
              <w:t>;</w:t>
            </w:r>
            <w:r>
              <w:rPr>
                <w:rFonts w:hint="eastAsia"/>
                <w:sz w:val="21"/>
                <w:szCs w:val="21"/>
              </w:rPr>
              <w:t>海水水质标准（</w:t>
            </w:r>
            <w:r>
              <w:rPr>
                <w:sz w:val="21"/>
                <w:szCs w:val="21"/>
              </w:rPr>
              <w:t>GB 3097-1997</w:t>
            </w:r>
            <w:r>
              <w:rPr>
                <w:rFonts w:hint="eastAsia"/>
                <w:sz w:val="21"/>
                <w:szCs w:val="21"/>
              </w:rPr>
              <w:t>）</w:t>
            </w:r>
            <w:r>
              <w:rPr>
                <w:sz w:val="21"/>
                <w:szCs w:val="21"/>
              </w:rPr>
              <w:t>;</w:t>
            </w:r>
            <w:r>
              <w:rPr>
                <w:rFonts w:hint="eastAsia"/>
                <w:sz w:val="21"/>
                <w:szCs w:val="21"/>
              </w:rPr>
              <w:t>环境空气质量标准（</w:t>
            </w:r>
            <w:r>
              <w:rPr>
                <w:sz w:val="21"/>
                <w:szCs w:val="21"/>
              </w:rPr>
              <w:t>GB 3095-2012</w:t>
            </w:r>
            <w:r>
              <w:rPr>
                <w:rFonts w:hint="eastAsia"/>
                <w:sz w:val="21"/>
                <w:szCs w:val="21"/>
              </w:rPr>
              <w:t>）</w:t>
            </w:r>
            <w:r>
              <w:rPr>
                <w:sz w:val="21"/>
                <w:szCs w:val="21"/>
              </w:rPr>
              <w:t>;</w:t>
            </w:r>
            <w:r>
              <w:rPr>
                <w:rFonts w:hint="eastAsia"/>
                <w:sz w:val="21"/>
                <w:szCs w:val="21"/>
              </w:rPr>
              <w:t>土壤环境质量农用地土壤污染风险管控标准（试行）（</w:t>
            </w:r>
            <w:r>
              <w:rPr>
                <w:sz w:val="21"/>
                <w:szCs w:val="21"/>
              </w:rPr>
              <w:t>GB 15618-2018</w:t>
            </w:r>
            <w:r>
              <w:rPr>
                <w:rFonts w:hint="eastAsia"/>
                <w:sz w:val="21"/>
                <w:szCs w:val="21"/>
              </w:rPr>
              <w:t>）</w:t>
            </w:r>
            <w:r>
              <w:rPr>
                <w:sz w:val="21"/>
                <w:szCs w:val="21"/>
              </w:rPr>
              <w:t>;</w:t>
            </w:r>
            <w:r>
              <w:rPr>
                <w:rFonts w:hint="eastAsia"/>
                <w:sz w:val="21"/>
                <w:szCs w:val="21"/>
              </w:rPr>
              <w:t>土壤环境质量建设用地土壤污染风险管控标准（试行）（</w:t>
            </w:r>
            <w:r>
              <w:rPr>
                <w:sz w:val="21"/>
                <w:szCs w:val="21"/>
              </w:rPr>
              <w:t>GB 36600-2018</w:t>
            </w:r>
            <w:r>
              <w:rPr>
                <w:rFonts w:hint="eastAsia"/>
                <w:sz w:val="21"/>
                <w:szCs w:val="21"/>
              </w:rPr>
              <w:t>）</w:t>
            </w:r>
            <w:r>
              <w:rPr>
                <w:sz w:val="21"/>
                <w:szCs w:val="21"/>
              </w:rPr>
              <w:t>;</w:t>
            </w:r>
            <w:r>
              <w:rPr>
                <w:rFonts w:hint="eastAsia"/>
                <w:sz w:val="21"/>
                <w:szCs w:val="21"/>
              </w:rPr>
              <w:t>声环境质量标准（</w:t>
            </w:r>
            <w:r>
              <w:rPr>
                <w:sz w:val="21"/>
                <w:szCs w:val="21"/>
              </w:rPr>
              <w:t>GB 3096-2008</w:t>
            </w:r>
            <w:r>
              <w:rPr>
                <w:rFonts w:hint="eastAsia"/>
                <w:sz w:val="21"/>
                <w:szCs w:val="21"/>
              </w:rPr>
              <w:t>）</w:t>
            </w:r>
          </w:p>
        </w:tc>
        <w:tc>
          <w:tcPr>
            <w:tcW w:w="2349" w:type="dxa"/>
            <w:noWrap/>
            <w:vAlign w:val="center"/>
          </w:tcPr>
          <w:p w:rsidR="00F736C7" w:rsidRDefault="00F736C7">
            <w:pPr>
              <w:adjustRightInd w:val="0"/>
              <w:snapToGrid w:val="0"/>
              <w:spacing w:line="264" w:lineRule="auto"/>
              <w:jc w:val="center"/>
              <w:rPr>
                <w:sz w:val="21"/>
                <w:szCs w:val="21"/>
              </w:rPr>
            </w:pPr>
          </w:p>
        </w:tc>
      </w:tr>
      <w:tr w:rsidR="00F736C7">
        <w:trPr>
          <w:jc w:val="center"/>
        </w:trPr>
        <w:tc>
          <w:tcPr>
            <w:tcW w:w="1074" w:type="dxa"/>
            <w:vMerge/>
            <w:noWrap/>
            <w:vAlign w:val="center"/>
          </w:tcPr>
          <w:p w:rsidR="00F736C7" w:rsidRDefault="00F736C7">
            <w:pPr>
              <w:adjustRightInd w:val="0"/>
              <w:snapToGrid w:val="0"/>
              <w:jc w:val="center"/>
              <w:rPr>
                <w:sz w:val="21"/>
                <w:szCs w:val="21"/>
              </w:rPr>
            </w:pPr>
          </w:p>
        </w:tc>
        <w:tc>
          <w:tcPr>
            <w:tcW w:w="834" w:type="dxa"/>
            <w:noWrap/>
            <w:vAlign w:val="center"/>
          </w:tcPr>
          <w:p w:rsidR="00F736C7" w:rsidRDefault="00CF00C2">
            <w:pPr>
              <w:adjustRightInd w:val="0"/>
              <w:snapToGrid w:val="0"/>
              <w:jc w:val="center"/>
              <w:rPr>
                <w:sz w:val="21"/>
                <w:szCs w:val="21"/>
              </w:rPr>
            </w:pPr>
            <w:r>
              <w:rPr>
                <w:sz w:val="21"/>
                <w:szCs w:val="21"/>
              </w:rPr>
              <w:t>2</w:t>
            </w:r>
          </w:p>
        </w:tc>
        <w:tc>
          <w:tcPr>
            <w:tcW w:w="4314" w:type="dxa"/>
            <w:noWrap/>
            <w:vAlign w:val="center"/>
          </w:tcPr>
          <w:p w:rsidR="00F736C7" w:rsidRDefault="00CF00C2">
            <w:pPr>
              <w:adjustRightInd w:val="0"/>
              <w:snapToGrid w:val="0"/>
              <w:spacing w:line="264" w:lineRule="auto"/>
              <w:jc w:val="center"/>
              <w:rPr>
                <w:sz w:val="21"/>
                <w:szCs w:val="21"/>
              </w:rPr>
            </w:pPr>
            <w:r>
              <w:rPr>
                <w:rFonts w:hint="eastAsia"/>
                <w:sz w:val="21"/>
                <w:szCs w:val="21"/>
              </w:rPr>
              <w:t>生态环境监测方法标准、技术规范和质量保证与质量控制技术规范。</w:t>
            </w:r>
          </w:p>
        </w:tc>
        <w:tc>
          <w:tcPr>
            <w:tcW w:w="2349" w:type="dxa"/>
            <w:noWrap/>
            <w:vAlign w:val="center"/>
          </w:tcPr>
          <w:p w:rsidR="00F736C7" w:rsidRDefault="00F736C7">
            <w:pPr>
              <w:adjustRightInd w:val="0"/>
              <w:snapToGrid w:val="0"/>
              <w:spacing w:line="264" w:lineRule="auto"/>
              <w:jc w:val="center"/>
              <w:rPr>
                <w:sz w:val="21"/>
                <w:szCs w:val="21"/>
              </w:rPr>
            </w:pPr>
          </w:p>
        </w:tc>
      </w:tr>
      <w:tr w:rsidR="00F736C7">
        <w:trPr>
          <w:jc w:val="center"/>
        </w:trPr>
        <w:tc>
          <w:tcPr>
            <w:tcW w:w="1074" w:type="dxa"/>
            <w:vMerge/>
            <w:noWrap/>
            <w:vAlign w:val="center"/>
          </w:tcPr>
          <w:p w:rsidR="00F736C7" w:rsidRDefault="00F736C7">
            <w:pPr>
              <w:adjustRightInd w:val="0"/>
              <w:snapToGrid w:val="0"/>
              <w:jc w:val="center"/>
              <w:rPr>
                <w:sz w:val="21"/>
                <w:szCs w:val="21"/>
              </w:rPr>
            </w:pPr>
          </w:p>
        </w:tc>
        <w:tc>
          <w:tcPr>
            <w:tcW w:w="834" w:type="dxa"/>
            <w:noWrap/>
            <w:vAlign w:val="center"/>
          </w:tcPr>
          <w:p w:rsidR="00F736C7" w:rsidRDefault="00CF00C2">
            <w:pPr>
              <w:adjustRightInd w:val="0"/>
              <w:snapToGrid w:val="0"/>
              <w:jc w:val="center"/>
              <w:rPr>
                <w:sz w:val="21"/>
                <w:szCs w:val="21"/>
              </w:rPr>
            </w:pPr>
            <w:r>
              <w:rPr>
                <w:sz w:val="21"/>
                <w:szCs w:val="21"/>
              </w:rPr>
              <w:t>3</w:t>
            </w:r>
          </w:p>
        </w:tc>
        <w:tc>
          <w:tcPr>
            <w:tcW w:w="4314" w:type="dxa"/>
            <w:noWrap/>
            <w:vAlign w:val="center"/>
          </w:tcPr>
          <w:p w:rsidR="00F736C7" w:rsidRDefault="00CF00C2">
            <w:pPr>
              <w:adjustRightInd w:val="0"/>
              <w:snapToGrid w:val="0"/>
              <w:spacing w:line="264" w:lineRule="auto"/>
              <w:jc w:val="center"/>
              <w:rPr>
                <w:sz w:val="21"/>
                <w:szCs w:val="21"/>
              </w:rPr>
            </w:pPr>
            <w:r>
              <w:rPr>
                <w:rFonts w:hint="eastAsia"/>
                <w:sz w:val="21"/>
                <w:szCs w:val="21"/>
              </w:rPr>
              <w:t>检验检测机构资质认定能力评价检验检测机构通用要求</w:t>
            </w:r>
          </w:p>
          <w:p w:rsidR="00F736C7" w:rsidRDefault="00CF00C2">
            <w:pPr>
              <w:adjustRightInd w:val="0"/>
              <w:snapToGrid w:val="0"/>
              <w:spacing w:line="264" w:lineRule="auto"/>
              <w:jc w:val="center"/>
              <w:rPr>
                <w:sz w:val="21"/>
                <w:szCs w:val="21"/>
              </w:rPr>
            </w:pPr>
            <w:r>
              <w:rPr>
                <w:rFonts w:hint="eastAsia"/>
                <w:sz w:val="21"/>
                <w:szCs w:val="21"/>
              </w:rPr>
              <w:t>（</w:t>
            </w:r>
            <w:r>
              <w:rPr>
                <w:sz w:val="21"/>
                <w:szCs w:val="21"/>
              </w:rPr>
              <w:t>RB/T 214-2017</w:t>
            </w:r>
            <w:r>
              <w:rPr>
                <w:rFonts w:hint="eastAsia"/>
                <w:sz w:val="21"/>
                <w:szCs w:val="21"/>
              </w:rPr>
              <w:t>）</w:t>
            </w:r>
          </w:p>
        </w:tc>
        <w:tc>
          <w:tcPr>
            <w:tcW w:w="2349" w:type="dxa"/>
            <w:noWrap/>
            <w:vAlign w:val="center"/>
          </w:tcPr>
          <w:p w:rsidR="00F736C7" w:rsidRDefault="00F736C7">
            <w:pPr>
              <w:adjustRightInd w:val="0"/>
              <w:snapToGrid w:val="0"/>
              <w:spacing w:line="264" w:lineRule="auto"/>
              <w:jc w:val="center"/>
              <w:rPr>
                <w:sz w:val="21"/>
                <w:szCs w:val="21"/>
              </w:rPr>
            </w:pPr>
          </w:p>
        </w:tc>
      </w:tr>
      <w:tr w:rsidR="00F736C7">
        <w:trPr>
          <w:jc w:val="center"/>
        </w:trPr>
        <w:tc>
          <w:tcPr>
            <w:tcW w:w="1074" w:type="dxa"/>
            <w:noWrap/>
            <w:vAlign w:val="center"/>
          </w:tcPr>
          <w:p w:rsidR="00F736C7" w:rsidRDefault="00CF00C2">
            <w:pPr>
              <w:adjustRightInd w:val="0"/>
              <w:snapToGrid w:val="0"/>
              <w:jc w:val="center"/>
              <w:rPr>
                <w:sz w:val="21"/>
                <w:szCs w:val="21"/>
              </w:rPr>
            </w:pPr>
            <w:r>
              <w:rPr>
                <w:rFonts w:hint="eastAsia"/>
                <w:sz w:val="21"/>
                <w:szCs w:val="21"/>
              </w:rPr>
              <w:t>参考书籍</w:t>
            </w:r>
          </w:p>
        </w:tc>
        <w:tc>
          <w:tcPr>
            <w:tcW w:w="834" w:type="dxa"/>
            <w:noWrap/>
            <w:vAlign w:val="center"/>
          </w:tcPr>
          <w:p w:rsidR="00F736C7" w:rsidRDefault="00CF00C2">
            <w:pPr>
              <w:adjustRightInd w:val="0"/>
              <w:snapToGrid w:val="0"/>
              <w:jc w:val="center"/>
              <w:rPr>
                <w:sz w:val="21"/>
                <w:szCs w:val="21"/>
              </w:rPr>
            </w:pPr>
            <w:r>
              <w:rPr>
                <w:sz w:val="21"/>
                <w:szCs w:val="21"/>
              </w:rPr>
              <w:t>1</w:t>
            </w:r>
          </w:p>
        </w:tc>
        <w:tc>
          <w:tcPr>
            <w:tcW w:w="4314" w:type="dxa"/>
            <w:noWrap/>
            <w:vAlign w:val="center"/>
          </w:tcPr>
          <w:p w:rsidR="00F736C7" w:rsidRDefault="00CF00C2">
            <w:pPr>
              <w:adjustRightInd w:val="0"/>
              <w:snapToGrid w:val="0"/>
              <w:spacing w:line="264" w:lineRule="auto"/>
              <w:jc w:val="center"/>
              <w:rPr>
                <w:sz w:val="21"/>
                <w:szCs w:val="21"/>
              </w:rPr>
            </w:pPr>
            <w:r>
              <w:rPr>
                <w:rFonts w:hint="eastAsia"/>
                <w:sz w:val="21"/>
                <w:szCs w:val="21"/>
              </w:rPr>
              <w:t>水和废水监测分析方法</w:t>
            </w:r>
          </w:p>
        </w:tc>
        <w:tc>
          <w:tcPr>
            <w:tcW w:w="2349" w:type="dxa"/>
            <w:noWrap/>
            <w:vAlign w:val="center"/>
          </w:tcPr>
          <w:p w:rsidR="00F736C7" w:rsidRDefault="00CF00C2">
            <w:pPr>
              <w:adjustRightInd w:val="0"/>
              <w:snapToGrid w:val="0"/>
              <w:spacing w:line="264" w:lineRule="auto"/>
              <w:jc w:val="center"/>
              <w:rPr>
                <w:sz w:val="21"/>
                <w:szCs w:val="21"/>
              </w:rPr>
            </w:pPr>
            <w:r>
              <w:rPr>
                <w:rFonts w:hint="eastAsia"/>
                <w:sz w:val="21"/>
                <w:szCs w:val="21"/>
              </w:rPr>
              <w:t>原国家环境保护总局</w:t>
            </w:r>
            <w:r>
              <w:rPr>
                <w:sz w:val="21"/>
                <w:szCs w:val="21"/>
              </w:rPr>
              <w:t xml:space="preserve">. </w:t>
            </w:r>
            <w:r>
              <w:rPr>
                <w:rFonts w:hint="eastAsia"/>
                <w:sz w:val="21"/>
                <w:szCs w:val="21"/>
              </w:rPr>
              <w:t>第四版（增补版）</w:t>
            </w:r>
            <w:r>
              <w:rPr>
                <w:sz w:val="21"/>
                <w:szCs w:val="21"/>
              </w:rPr>
              <w:t xml:space="preserve">. </w:t>
            </w:r>
            <w:r>
              <w:rPr>
                <w:rFonts w:hint="eastAsia"/>
                <w:sz w:val="21"/>
                <w:szCs w:val="21"/>
              </w:rPr>
              <w:t>中国环境科学出版社</w:t>
            </w:r>
            <w:r>
              <w:rPr>
                <w:sz w:val="21"/>
                <w:szCs w:val="21"/>
              </w:rPr>
              <w:t>, 2002.</w:t>
            </w:r>
          </w:p>
        </w:tc>
      </w:tr>
      <w:tr w:rsidR="00F736C7">
        <w:trPr>
          <w:jc w:val="center"/>
        </w:trPr>
        <w:tc>
          <w:tcPr>
            <w:tcW w:w="1074" w:type="dxa"/>
            <w:vMerge w:val="restart"/>
            <w:noWrap/>
            <w:vAlign w:val="center"/>
          </w:tcPr>
          <w:p w:rsidR="00F736C7" w:rsidRDefault="00CF00C2">
            <w:pPr>
              <w:adjustRightInd w:val="0"/>
              <w:snapToGrid w:val="0"/>
              <w:jc w:val="center"/>
              <w:rPr>
                <w:sz w:val="21"/>
                <w:szCs w:val="21"/>
              </w:rPr>
            </w:pPr>
            <w:r>
              <w:rPr>
                <w:rFonts w:hint="eastAsia"/>
                <w:sz w:val="21"/>
                <w:szCs w:val="21"/>
              </w:rPr>
              <w:t>参考书籍</w:t>
            </w:r>
          </w:p>
        </w:tc>
        <w:tc>
          <w:tcPr>
            <w:tcW w:w="834" w:type="dxa"/>
            <w:noWrap/>
            <w:vAlign w:val="center"/>
          </w:tcPr>
          <w:p w:rsidR="00F736C7" w:rsidRDefault="00CF00C2">
            <w:pPr>
              <w:adjustRightInd w:val="0"/>
              <w:snapToGrid w:val="0"/>
              <w:jc w:val="center"/>
              <w:rPr>
                <w:sz w:val="21"/>
                <w:szCs w:val="21"/>
              </w:rPr>
            </w:pPr>
            <w:r>
              <w:rPr>
                <w:sz w:val="21"/>
                <w:szCs w:val="21"/>
              </w:rPr>
              <w:t>2</w:t>
            </w:r>
          </w:p>
        </w:tc>
        <w:tc>
          <w:tcPr>
            <w:tcW w:w="4314" w:type="dxa"/>
            <w:noWrap/>
            <w:vAlign w:val="center"/>
          </w:tcPr>
          <w:p w:rsidR="00F736C7" w:rsidRDefault="00CF00C2">
            <w:pPr>
              <w:adjustRightInd w:val="0"/>
              <w:snapToGrid w:val="0"/>
              <w:spacing w:line="264" w:lineRule="auto"/>
              <w:jc w:val="center"/>
              <w:rPr>
                <w:sz w:val="21"/>
                <w:szCs w:val="21"/>
              </w:rPr>
            </w:pPr>
            <w:r>
              <w:rPr>
                <w:rFonts w:hint="eastAsia"/>
                <w:sz w:val="21"/>
                <w:szCs w:val="21"/>
              </w:rPr>
              <w:t>空气和废气监测分析方法</w:t>
            </w:r>
          </w:p>
        </w:tc>
        <w:tc>
          <w:tcPr>
            <w:tcW w:w="2349" w:type="dxa"/>
            <w:noWrap/>
            <w:vAlign w:val="center"/>
          </w:tcPr>
          <w:p w:rsidR="00F736C7" w:rsidRDefault="00CF00C2">
            <w:pPr>
              <w:adjustRightInd w:val="0"/>
              <w:snapToGrid w:val="0"/>
              <w:spacing w:line="264" w:lineRule="auto"/>
              <w:jc w:val="center"/>
              <w:rPr>
                <w:sz w:val="21"/>
                <w:szCs w:val="21"/>
              </w:rPr>
            </w:pPr>
            <w:r>
              <w:rPr>
                <w:rFonts w:hint="eastAsia"/>
                <w:sz w:val="21"/>
                <w:szCs w:val="21"/>
              </w:rPr>
              <w:t>原国家环境保护总局</w:t>
            </w:r>
            <w:r>
              <w:rPr>
                <w:sz w:val="21"/>
                <w:szCs w:val="21"/>
              </w:rPr>
              <w:t xml:space="preserve">. </w:t>
            </w:r>
            <w:r>
              <w:rPr>
                <w:rFonts w:hint="eastAsia"/>
                <w:sz w:val="21"/>
                <w:szCs w:val="21"/>
              </w:rPr>
              <w:t>第四版（增补版）</w:t>
            </w:r>
            <w:r>
              <w:rPr>
                <w:sz w:val="21"/>
                <w:szCs w:val="21"/>
              </w:rPr>
              <w:t>.</w:t>
            </w:r>
            <w:r>
              <w:rPr>
                <w:rFonts w:hint="eastAsia"/>
                <w:sz w:val="21"/>
                <w:szCs w:val="21"/>
              </w:rPr>
              <w:t>中国环境科学出版社</w:t>
            </w:r>
            <w:r>
              <w:rPr>
                <w:sz w:val="21"/>
                <w:szCs w:val="21"/>
              </w:rPr>
              <w:t>, 2003.</w:t>
            </w:r>
          </w:p>
        </w:tc>
      </w:tr>
      <w:tr w:rsidR="00F736C7">
        <w:trPr>
          <w:jc w:val="center"/>
        </w:trPr>
        <w:tc>
          <w:tcPr>
            <w:tcW w:w="1074" w:type="dxa"/>
            <w:vMerge/>
            <w:noWrap/>
            <w:vAlign w:val="center"/>
          </w:tcPr>
          <w:p w:rsidR="00F736C7" w:rsidRDefault="00F736C7">
            <w:pPr>
              <w:adjustRightInd w:val="0"/>
              <w:snapToGrid w:val="0"/>
              <w:jc w:val="center"/>
              <w:rPr>
                <w:sz w:val="21"/>
                <w:szCs w:val="21"/>
              </w:rPr>
            </w:pPr>
          </w:p>
        </w:tc>
        <w:tc>
          <w:tcPr>
            <w:tcW w:w="834" w:type="dxa"/>
            <w:noWrap/>
            <w:vAlign w:val="center"/>
          </w:tcPr>
          <w:p w:rsidR="00F736C7" w:rsidRDefault="00CF00C2">
            <w:pPr>
              <w:adjustRightInd w:val="0"/>
              <w:snapToGrid w:val="0"/>
              <w:jc w:val="center"/>
              <w:rPr>
                <w:sz w:val="21"/>
                <w:szCs w:val="21"/>
              </w:rPr>
            </w:pPr>
            <w:r>
              <w:rPr>
                <w:sz w:val="21"/>
                <w:szCs w:val="21"/>
              </w:rPr>
              <w:t>3</w:t>
            </w:r>
          </w:p>
        </w:tc>
        <w:tc>
          <w:tcPr>
            <w:tcW w:w="4314" w:type="dxa"/>
            <w:noWrap/>
            <w:vAlign w:val="center"/>
          </w:tcPr>
          <w:p w:rsidR="00F736C7" w:rsidRDefault="00CF00C2">
            <w:pPr>
              <w:adjustRightInd w:val="0"/>
              <w:snapToGrid w:val="0"/>
              <w:spacing w:line="264" w:lineRule="auto"/>
              <w:jc w:val="center"/>
              <w:rPr>
                <w:sz w:val="21"/>
                <w:szCs w:val="21"/>
              </w:rPr>
            </w:pPr>
            <w:r>
              <w:rPr>
                <w:rFonts w:hint="eastAsia"/>
                <w:sz w:val="21"/>
                <w:szCs w:val="21"/>
              </w:rPr>
              <w:t>环境监测人员持证上岗考核试题集（上册、下册）</w:t>
            </w:r>
          </w:p>
        </w:tc>
        <w:tc>
          <w:tcPr>
            <w:tcW w:w="2349" w:type="dxa"/>
            <w:noWrap/>
            <w:vAlign w:val="center"/>
          </w:tcPr>
          <w:p w:rsidR="00F736C7" w:rsidRDefault="00CF00C2">
            <w:pPr>
              <w:adjustRightInd w:val="0"/>
              <w:snapToGrid w:val="0"/>
              <w:spacing w:line="264" w:lineRule="auto"/>
              <w:jc w:val="center"/>
              <w:rPr>
                <w:sz w:val="21"/>
                <w:szCs w:val="21"/>
              </w:rPr>
            </w:pPr>
            <w:r>
              <w:rPr>
                <w:rFonts w:hint="eastAsia"/>
                <w:sz w:val="21"/>
                <w:szCs w:val="21"/>
              </w:rPr>
              <w:t>中国环境监测总站</w:t>
            </w:r>
            <w:r>
              <w:rPr>
                <w:sz w:val="21"/>
                <w:szCs w:val="21"/>
              </w:rPr>
              <w:t xml:space="preserve">. </w:t>
            </w:r>
            <w:r>
              <w:rPr>
                <w:rFonts w:hint="eastAsia"/>
                <w:sz w:val="21"/>
                <w:szCs w:val="21"/>
              </w:rPr>
              <w:t>第四版</w:t>
            </w:r>
            <w:r>
              <w:rPr>
                <w:sz w:val="21"/>
                <w:szCs w:val="21"/>
              </w:rPr>
              <w:t xml:space="preserve">. </w:t>
            </w:r>
            <w:r>
              <w:rPr>
                <w:rFonts w:hint="eastAsia"/>
                <w:sz w:val="21"/>
                <w:szCs w:val="21"/>
              </w:rPr>
              <w:t>中国环境出版集团</w:t>
            </w:r>
            <w:r>
              <w:rPr>
                <w:rFonts w:hint="eastAsia"/>
                <w:sz w:val="21"/>
                <w:szCs w:val="21"/>
              </w:rPr>
              <w:t>, 2015</w:t>
            </w:r>
            <w:r>
              <w:rPr>
                <w:rFonts w:hint="eastAsia"/>
                <w:sz w:val="21"/>
                <w:szCs w:val="21"/>
              </w:rPr>
              <w:t>（上册）</w:t>
            </w:r>
            <w:r>
              <w:rPr>
                <w:sz w:val="21"/>
                <w:szCs w:val="21"/>
              </w:rPr>
              <w:t>2018</w:t>
            </w:r>
            <w:r>
              <w:rPr>
                <w:rFonts w:hint="eastAsia"/>
                <w:sz w:val="21"/>
                <w:szCs w:val="21"/>
              </w:rPr>
              <w:t>（下册）．</w:t>
            </w:r>
          </w:p>
        </w:tc>
      </w:tr>
      <w:tr w:rsidR="00F736C7">
        <w:trPr>
          <w:jc w:val="center"/>
        </w:trPr>
        <w:tc>
          <w:tcPr>
            <w:tcW w:w="1074" w:type="dxa"/>
            <w:vMerge/>
            <w:noWrap/>
            <w:vAlign w:val="center"/>
          </w:tcPr>
          <w:p w:rsidR="00F736C7" w:rsidRDefault="00F736C7">
            <w:pPr>
              <w:adjustRightInd w:val="0"/>
              <w:snapToGrid w:val="0"/>
              <w:jc w:val="center"/>
              <w:rPr>
                <w:sz w:val="28"/>
                <w:szCs w:val="28"/>
              </w:rPr>
            </w:pPr>
          </w:p>
        </w:tc>
        <w:tc>
          <w:tcPr>
            <w:tcW w:w="834" w:type="dxa"/>
            <w:noWrap/>
            <w:vAlign w:val="center"/>
          </w:tcPr>
          <w:p w:rsidR="00F736C7" w:rsidRDefault="00CF00C2">
            <w:pPr>
              <w:adjustRightInd w:val="0"/>
              <w:snapToGrid w:val="0"/>
              <w:jc w:val="center"/>
              <w:rPr>
                <w:sz w:val="21"/>
                <w:szCs w:val="21"/>
              </w:rPr>
            </w:pPr>
            <w:r>
              <w:rPr>
                <w:sz w:val="21"/>
                <w:szCs w:val="21"/>
              </w:rPr>
              <w:t>4</w:t>
            </w:r>
          </w:p>
        </w:tc>
        <w:tc>
          <w:tcPr>
            <w:tcW w:w="4314" w:type="dxa"/>
            <w:noWrap/>
            <w:vAlign w:val="center"/>
          </w:tcPr>
          <w:p w:rsidR="00F736C7" w:rsidRDefault="00CF00C2">
            <w:pPr>
              <w:adjustRightInd w:val="0"/>
              <w:snapToGrid w:val="0"/>
              <w:spacing w:line="264" w:lineRule="auto"/>
              <w:jc w:val="center"/>
              <w:rPr>
                <w:sz w:val="21"/>
                <w:szCs w:val="21"/>
              </w:rPr>
            </w:pPr>
            <w:r>
              <w:rPr>
                <w:rFonts w:hint="eastAsia"/>
                <w:sz w:val="21"/>
                <w:szCs w:val="21"/>
              </w:rPr>
              <w:t>环境空气自动监测基础理论考核试题集</w:t>
            </w:r>
          </w:p>
        </w:tc>
        <w:tc>
          <w:tcPr>
            <w:tcW w:w="2349" w:type="dxa"/>
            <w:noWrap/>
            <w:vAlign w:val="center"/>
          </w:tcPr>
          <w:p w:rsidR="00F736C7" w:rsidRDefault="00CF00C2">
            <w:pPr>
              <w:adjustRightInd w:val="0"/>
              <w:snapToGrid w:val="0"/>
              <w:spacing w:line="264" w:lineRule="auto"/>
              <w:jc w:val="center"/>
              <w:rPr>
                <w:sz w:val="21"/>
                <w:szCs w:val="21"/>
              </w:rPr>
            </w:pPr>
            <w:r>
              <w:rPr>
                <w:rFonts w:hint="eastAsia"/>
                <w:sz w:val="21"/>
                <w:szCs w:val="21"/>
              </w:rPr>
              <w:t>中国环境监测总站</w:t>
            </w:r>
            <w:r>
              <w:rPr>
                <w:sz w:val="21"/>
                <w:szCs w:val="21"/>
              </w:rPr>
              <w:t xml:space="preserve">. </w:t>
            </w:r>
            <w:r>
              <w:rPr>
                <w:rFonts w:hint="eastAsia"/>
                <w:sz w:val="21"/>
                <w:szCs w:val="21"/>
              </w:rPr>
              <w:t>中国环境出版集团</w:t>
            </w:r>
            <w:r>
              <w:rPr>
                <w:sz w:val="21"/>
                <w:szCs w:val="21"/>
              </w:rPr>
              <w:t>, 2018</w:t>
            </w:r>
            <w:r>
              <w:rPr>
                <w:rFonts w:hint="eastAsia"/>
                <w:sz w:val="21"/>
                <w:szCs w:val="21"/>
              </w:rPr>
              <w:t>．</w:t>
            </w:r>
          </w:p>
        </w:tc>
      </w:tr>
    </w:tbl>
    <w:p w:rsidR="00F736C7" w:rsidRDefault="00CF00C2">
      <w:pPr>
        <w:adjustRightInd w:val="0"/>
        <w:snapToGrid w:val="0"/>
        <w:spacing w:line="360" w:lineRule="auto"/>
        <w:ind w:firstLineChars="200" w:firstLine="420"/>
        <w:rPr>
          <w:sz w:val="21"/>
          <w:szCs w:val="21"/>
        </w:rPr>
      </w:pPr>
      <w:r>
        <w:rPr>
          <w:rFonts w:hint="eastAsia"/>
          <w:sz w:val="21"/>
          <w:szCs w:val="21"/>
        </w:rPr>
        <w:t>注：标准还包括其修订单和补充说明；监测分析方法以国标、行标方法为首选方法，但不作为唯一方法。</w:t>
      </w:r>
    </w:p>
    <w:p w:rsidR="00F736C7" w:rsidRDefault="00CF00C2">
      <w:pPr>
        <w:pStyle w:val="1"/>
        <w:numPr>
          <w:ilvl w:val="0"/>
          <w:numId w:val="0"/>
        </w:numPr>
        <w:tabs>
          <w:tab w:val="clear" w:pos="420"/>
        </w:tabs>
        <w:adjustRightInd w:val="0"/>
        <w:snapToGrid w:val="0"/>
        <w:rPr>
          <w:b/>
          <w:sz w:val="32"/>
          <w:szCs w:val="32"/>
        </w:rPr>
      </w:pPr>
      <w:r>
        <w:rPr>
          <w:rFonts w:hint="eastAsia"/>
          <w:b/>
          <w:sz w:val="32"/>
          <w:szCs w:val="32"/>
        </w:rPr>
        <w:t>二、现场操作竞赛方案</w:t>
      </w:r>
    </w:p>
    <w:p w:rsidR="00F736C7" w:rsidRDefault="00CF00C2">
      <w:pPr>
        <w:pStyle w:val="2"/>
        <w:numPr>
          <w:ilvl w:val="0"/>
          <w:numId w:val="0"/>
        </w:numPr>
        <w:tabs>
          <w:tab w:val="clear" w:pos="930"/>
        </w:tabs>
        <w:adjustRightInd w:val="0"/>
        <w:snapToGrid w:val="0"/>
        <w:ind w:left="633"/>
        <w:rPr>
          <w:rFonts w:ascii="Times New Roman" w:hAnsi="Times New Roman"/>
        </w:rPr>
      </w:pPr>
      <w:r>
        <w:rPr>
          <w:rFonts w:ascii="Times New Roman" w:hAnsi="Times New Roman"/>
        </w:rPr>
        <w:t>（一）竞赛项目</w:t>
      </w:r>
    </w:p>
    <w:p w:rsidR="00F736C7" w:rsidRDefault="00CF00C2">
      <w:pPr>
        <w:widowControl/>
        <w:autoSpaceDN w:val="0"/>
        <w:snapToGrid w:val="0"/>
        <w:spacing w:line="360" w:lineRule="auto"/>
        <w:ind w:firstLine="600"/>
      </w:pPr>
      <w:r>
        <w:rPr>
          <w:rFonts w:hint="eastAsia"/>
        </w:rPr>
        <w:t>现场操作竞赛拟设以下</w:t>
      </w:r>
      <w:r>
        <w:rPr>
          <w:rFonts w:hint="eastAsia"/>
        </w:rPr>
        <w:t>3</w:t>
      </w:r>
      <w:r>
        <w:rPr>
          <w:rFonts w:hint="eastAsia"/>
        </w:rPr>
        <w:t>个项目：</w:t>
      </w:r>
    </w:p>
    <w:p w:rsidR="00F736C7" w:rsidRDefault="00CF00C2">
      <w:pPr>
        <w:pStyle w:val="Style5"/>
        <w:widowControl/>
        <w:numPr>
          <w:ilvl w:val="0"/>
          <w:numId w:val="3"/>
        </w:numPr>
        <w:tabs>
          <w:tab w:val="clear" w:pos="420"/>
        </w:tabs>
        <w:topLinePunct/>
        <w:snapToGrid w:val="0"/>
        <w:spacing w:line="360" w:lineRule="auto"/>
        <w:ind w:left="1003" w:firstLineChars="0" w:hanging="360"/>
        <w:rPr>
          <w:b/>
        </w:rPr>
      </w:pPr>
      <w:r>
        <w:rPr>
          <w:rFonts w:hint="eastAsia"/>
          <w:b/>
        </w:rPr>
        <w:t>容量法测定水中高锰酸盐指数</w:t>
      </w:r>
    </w:p>
    <w:p w:rsidR="00F736C7" w:rsidRDefault="00CF00C2">
      <w:pPr>
        <w:widowControl/>
        <w:topLinePunct/>
        <w:snapToGrid w:val="0"/>
        <w:spacing w:line="360" w:lineRule="auto"/>
        <w:ind w:firstLineChars="200" w:firstLine="600"/>
      </w:pPr>
      <w:r>
        <w:rPr>
          <w:rFonts w:hint="eastAsia"/>
        </w:rPr>
        <w:t>方法依据：水质高锰酸盐指数的测定（酸性法）（</w:t>
      </w:r>
      <w:r>
        <w:t>GB</w:t>
      </w:r>
      <w:r>
        <w:rPr>
          <w:rFonts w:hint="eastAsia"/>
        </w:rPr>
        <w:t xml:space="preserve">/T </w:t>
      </w:r>
      <w:r>
        <w:t>11892-1989</w:t>
      </w:r>
      <w:r>
        <w:rPr>
          <w:rFonts w:hint="eastAsia"/>
        </w:rPr>
        <w:t>）。</w:t>
      </w:r>
    </w:p>
    <w:p w:rsidR="00F736C7" w:rsidRDefault="00CF00C2">
      <w:pPr>
        <w:widowControl/>
        <w:topLinePunct/>
        <w:snapToGrid w:val="0"/>
        <w:spacing w:line="360" w:lineRule="auto"/>
        <w:ind w:firstLineChars="200" w:firstLine="600"/>
      </w:pPr>
      <w:r>
        <w:rPr>
          <w:rFonts w:hint="eastAsia"/>
        </w:rPr>
        <w:t>备注：高锰酸钾溶液允许提前配制。</w:t>
      </w:r>
    </w:p>
    <w:p w:rsidR="00F736C7" w:rsidRDefault="00CF00C2">
      <w:pPr>
        <w:pStyle w:val="Style5"/>
        <w:widowControl/>
        <w:numPr>
          <w:ilvl w:val="0"/>
          <w:numId w:val="3"/>
        </w:numPr>
        <w:tabs>
          <w:tab w:val="clear" w:pos="420"/>
        </w:tabs>
        <w:topLinePunct/>
        <w:snapToGrid w:val="0"/>
        <w:spacing w:line="360" w:lineRule="auto"/>
        <w:ind w:left="1003" w:firstLineChars="0" w:hanging="360"/>
        <w:rPr>
          <w:b/>
        </w:rPr>
      </w:pPr>
      <w:r>
        <w:rPr>
          <w:rFonts w:hint="eastAsia"/>
          <w:b/>
        </w:rPr>
        <w:t>光度法测定水（海水）中六价铬</w:t>
      </w:r>
    </w:p>
    <w:p w:rsidR="00F736C7" w:rsidRDefault="00CF00C2">
      <w:pPr>
        <w:widowControl/>
        <w:topLinePunct/>
        <w:snapToGrid w:val="0"/>
        <w:spacing w:line="360" w:lineRule="auto"/>
        <w:ind w:firstLineChars="200" w:firstLine="600"/>
      </w:pPr>
      <w:r>
        <w:rPr>
          <w:rFonts w:hint="eastAsia"/>
        </w:rPr>
        <w:t>方法依据：水质</w:t>
      </w:r>
      <w:r>
        <w:rPr>
          <w:rFonts w:hint="eastAsia"/>
        </w:rPr>
        <w:t xml:space="preserve"> </w:t>
      </w:r>
      <w:r>
        <w:rPr>
          <w:rFonts w:hint="eastAsia"/>
        </w:rPr>
        <w:t>六价铬的测定二苯碳酰二肼分光光度法（</w:t>
      </w:r>
      <w:r>
        <w:t>GB</w:t>
      </w:r>
      <w:r>
        <w:rPr>
          <w:rFonts w:hint="eastAsia"/>
        </w:rPr>
        <w:t xml:space="preserve">/T </w:t>
      </w:r>
      <w:r>
        <w:t>7467-</w:t>
      </w:r>
      <w:r>
        <w:rPr>
          <w:rFonts w:hint="eastAsia"/>
        </w:rPr>
        <w:t>19</w:t>
      </w:r>
      <w:r>
        <w:t>87</w:t>
      </w:r>
      <w:r>
        <w:rPr>
          <w:rFonts w:hint="eastAsia"/>
        </w:rPr>
        <w:t>）。</w:t>
      </w:r>
    </w:p>
    <w:p w:rsidR="00F736C7" w:rsidRDefault="00CF00C2">
      <w:pPr>
        <w:widowControl/>
        <w:topLinePunct/>
        <w:snapToGrid w:val="0"/>
        <w:spacing w:line="360" w:lineRule="auto"/>
        <w:ind w:firstLine="643"/>
        <w:rPr>
          <w:b/>
        </w:rPr>
      </w:pPr>
      <w:r>
        <w:rPr>
          <w:rFonts w:hint="eastAsia"/>
          <w:b/>
        </w:rPr>
        <w:t>3</w:t>
      </w:r>
      <w:r>
        <w:rPr>
          <w:b/>
        </w:rPr>
        <w:t xml:space="preserve">. </w:t>
      </w:r>
      <w:r>
        <w:rPr>
          <w:rFonts w:hint="eastAsia"/>
          <w:b/>
        </w:rPr>
        <w:t>电位法测定土壤中</w:t>
      </w:r>
      <w:r>
        <w:rPr>
          <w:b/>
        </w:rPr>
        <w:t xml:space="preserve">pH </w:t>
      </w:r>
      <w:r>
        <w:rPr>
          <w:rFonts w:hint="eastAsia"/>
          <w:b/>
        </w:rPr>
        <w:t>值</w:t>
      </w:r>
    </w:p>
    <w:p w:rsidR="00F736C7" w:rsidRDefault="00CF00C2">
      <w:pPr>
        <w:widowControl/>
        <w:topLinePunct/>
        <w:snapToGrid w:val="0"/>
        <w:spacing w:line="360" w:lineRule="auto"/>
        <w:ind w:firstLineChars="200" w:firstLine="600"/>
      </w:pPr>
      <w:r>
        <w:rPr>
          <w:rFonts w:hint="eastAsia"/>
        </w:rPr>
        <w:t>方法依据：土壤</w:t>
      </w:r>
      <w:r>
        <w:t xml:space="preserve">  pH </w:t>
      </w:r>
      <w:r>
        <w:rPr>
          <w:rFonts w:hint="eastAsia"/>
        </w:rPr>
        <w:t>值的测定电位法（</w:t>
      </w:r>
      <w:r>
        <w:t>HJ 962-2018</w:t>
      </w:r>
      <w:r>
        <w:rPr>
          <w:rFonts w:hint="eastAsia"/>
        </w:rPr>
        <w:t>）。</w:t>
      </w:r>
    </w:p>
    <w:p w:rsidR="00F736C7" w:rsidRDefault="00CF00C2">
      <w:pPr>
        <w:pStyle w:val="2"/>
        <w:numPr>
          <w:ilvl w:val="0"/>
          <w:numId w:val="0"/>
        </w:numPr>
        <w:tabs>
          <w:tab w:val="clear" w:pos="930"/>
        </w:tabs>
        <w:adjustRightInd w:val="0"/>
        <w:snapToGrid w:val="0"/>
        <w:ind w:left="633"/>
        <w:rPr>
          <w:rFonts w:ascii="Times New Roman" w:hAnsi="Times New Roman"/>
        </w:rPr>
      </w:pPr>
      <w:r>
        <w:rPr>
          <w:rFonts w:ascii="Times New Roman" w:hAnsi="Times New Roman"/>
        </w:rPr>
        <w:t>（二）竞赛时间</w:t>
      </w:r>
    </w:p>
    <w:p w:rsidR="00F736C7" w:rsidRDefault="00CF00C2">
      <w:pPr>
        <w:widowControl/>
        <w:snapToGrid w:val="0"/>
        <w:spacing w:line="360" w:lineRule="auto"/>
        <w:ind w:firstLine="600"/>
      </w:pPr>
      <w:r>
        <w:rPr>
          <w:rFonts w:hint="eastAsia"/>
        </w:rPr>
        <w:t>每个比武项目的时间为</w:t>
      </w:r>
      <w:r>
        <w:t>150</w:t>
      </w:r>
      <w:r>
        <w:rPr>
          <w:rFonts w:hint="eastAsia"/>
        </w:rPr>
        <w:t>分钟。</w:t>
      </w:r>
    </w:p>
    <w:p w:rsidR="00F736C7" w:rsidRDefault="00CF00C2">
      <w:pPr>
        <w:pStyle w:val="2"/>
        <w:numPr>
          <w:ilvl w:val="0"/>
          <w:numId w:val="0"/>
        </w:numPr>
        <w:tabs>
          <w:tab w:val="clear" w:pos="930"/>
        </w:tabs>
        <w:adjustRightInd w:val="0"/>
        <w:snapToGrid w:val="0"/>
        <w:ind w:left="633"/>
        <w:rPr>
          <w:rFonts w:ascii="Times New Roman" w:hAnsi="Times New Roman"/>
        </w:rPr>
      </w:pPr>
      <w:r>
        <w:rPr>
          <w:rFonts w:ascii="Times New Roman" w:hAnsi="Times New Roman"/>
        </w:rPr>
        <w:lastRenderedPageBreak/>
        <w:t>（三）竞赛方式</w:t>
      </w:r>
    </w:p>
    <w:p w:rsidR="00F736C7" w:rsidRDefault="00CF00C2">
      <w:pPr>
        <w:widowControl/>
        <w:adjustRightInd w:val="0"/>
        <w:snapToGrid w:val="0"/>
        <w:spacing w:line="360" w:lineRule="auto"/>
        <w:ind w:firstLine="600"/>
      </w:pPr>
      <w:r>
        <w:rPr>
          <w:rFonts w:hint="eastAsia"/>
        </w:rPr>
        <w:t>现场操作竞赛采用场内分组集中的方式进行。所有参赛人员均需独立完成上述</w:t>
      </w:r>
      <w:r>
        <w:rPr>
          <w:rFonts w:hint="eastAsia"/>
        </w:rPr>
        <w:t>3</w:t>
      </w:r>
      <w:r>
        <w:rPr>
          <w:rFonts w:hint="eastAsia"/>
        </w:rPr>
        <w:t>个现场操作竞赛项目</w:t>
      </w:r>
      <w:r>
        <w:rPr>
          <w:rFonts w:hint="eastAsia"/>
        </w:rPr>
        <w:t>的比赛。</w:t>
      </w:r>
    </w:p>
    <w:p w:rsidR="00F736C7" w:rsidRDefault="00CF00C2">
      <w:pPr>
        <w:pStyle w:val="2"/>
        <w:numPr>
          <w:ilvl w:val="0"/>
          <w:numId w:val="0"/>
        </w:numPr>
        <w:tabs>
          <w:tab w:val="clear" w:pos="930"/>
        </w:tabs>
        <w:adjustRightInd w:val="0"/>
        <w:snapToGrid w:val="0"/>
        <w:ind w:left="633"/>
        <w:rPr>
          <w:rFonts w:ascii="Times New Roman" w:hAnsi="Times New Roman"/>
        </w:rPr>
      </w:pPr>
      <w:r>
        <w:rPr>
          <w:rFonts w:ascii="Times New Roman" w:hAnsi="Times New Roman"/>
        </w:rPr>
        <w:t>（四）评分方法</w:t>
      </w:r>
    </w:p>
    <w:p w:rsidR="00F736C7" w:rsidRDefault="00CF00C2">
      <w:pPr>
        <w:widowControl/>
        <w:snapToGrid w:val="0"/>
        <w:spacing w:line="360" w:lineRule="auto"/>
        <w:ind w:firstLine="600"/>
      </w:pPr>
      <w:r>
        <w:rPr>
          <w:rFonts w:hint="eastAsia"/>
        </w:rPr>
        <w:t>现场操作竞赛评分依据主要以样品分析的准确性为主，辅以考查参赛人员的操作规范性及原始记录、结果报告的规范性。具体评分细则另行制定。比武期间，现场设有专家巡查。比武队员一经发现有违纪行为，由工作人员带离比武现场，该违纪人员的本项比武成绩按零分计算。参赛人员个人成绩均会记入队伍团体成绩。</w:t>
      </w:r>
    </w:p>
    <w:p w:rsidR="00F736C7" w:rsidRDefault="00CF00C2">
      <w:pPr>
        <w:widowControl/>
        <w:autoSpaceDN w:val="0"/>
        <w:snapToGrid w:val="0"/>
        <w:spacing w:line="360" w:lineRule="auto"/>
        <w:ind w:firstLine="600"/>
        <w:rPr>
          <w:color w:val="C00000"/>
        </w:rPr>
      </w:pPr>
      <w:r>
        <w:rPr>
          <w:rFonts w:hint="eastAsia"/>
        </w:rPr>
        <w:t>各队伍的选手必须全部参加理论知识考试和现场操作竞赛。理论知识考试和现场操作竞赛按照</w:t>
      </w:r>
      <w:r>
        <w:rPr>
          <w:rFonts w:hint="eastAsia"/>
        </w:rPr>
        <w:t>4:6</w:t>
      </w:r>
      <w:r>
        <w:rPr>
          <w:rFonts w:hint="eastAsia"/>
        </w:rPr>
        <w:t>的分值比重计算个人总成绩；队伍团体所有参赛人员个人成绩的总分除以参赛人数的平均值为队伍团体成绩。</w:t>
      </w:r>
    </w:p>
    <w:p w:rsidR="00F736C7" w:rsidRDefault="00CF00C2">
      <w:pPr>
        <w:widowControl/>
        <w:snapToGrid w:val="0"/>
        <w:spacing w:line="360" w:lineRule="auto"/>
        <w:ind w:firstLine="600"/>
      </w:pPr>
      <w:r>
        <w:rPr>
          <w:rFonts w:hint="eastAsia"/>
        </w:rPr>
        <w:t>当队伍选手总人数</w:t>
      </w:r>
      <w:r>
        <w:rPr>
          <w:rFonts w:hint="eastAsia"/>
        </w:rPr>
        <w:t>不足</w:t>
      </w:r>
      <w:r>
        <w:rPr>
          <w:rFonts w:hint="eastAsia"/>
        </w:rPr>
        <w:t>5</w:t>
      </w:r>
      <w:r>
        <w:rPr>
          <w:rFonts w:hint="eastAsia"/>
        </w:rPr>
        <w:t>人，团体分数自动顺延至下一等级奖项开始排序。</w:t>
      </w:r>
    </w:p>
    <w:p w:rsidR="00F736C7" w:rsidRDefault="00CF00C2">
      <w:pPr>
        <w:pStyle w:val="2"/>
        <w:numPr>
          <w:ilvl w:val="0"/>
          <w:numId w:val="0"/>
        </w:numPr>
        <w:tabs>
          <w:tab w:val="clear" w:pos="930"/>
        </w:tabs>
        <w:adjustRightInd w:val="0"/>
        <w:snapToGrid w:val="0"/>
        <w:ind w:left="633"/>
        <w:rPr>
          <w:rFonts w:ascii="Times New Roman" w:hAnsi="Times New Roman"/>
        </w:rPr>
      </w:pPr>
      <w:r>
        <w:rPr>
          <w:rFonts w:ascii="Times New Roman" w:hAnsi="Times New Roman"/>
        </w:rPr>
        <w:t>（五）现场操作竞赛物资准备</w:t>
      </w:r>
    </w:p>
    <w:p w:rsidR="00F736C7" w:rsidRDefault="00CF00C2">
      <w:pPr>
        <w:widowControl/>
        <w:topLinePunct/>
        <w:snapToGrid w:val="0"/>
        <w:spacing w:line="360" w:lineRule="auto"/>
        <w:ind w:firstLineChars="200" w:firstLine="602"/>
        <w:rPr>
          <w:b/>
        </w:rPr>
      </w:pPr>
      <w:r>
        <w:rPr>
          <w:b/>
        </w:rPr>
        <w:t xml:space="preserve">1. </w:t>
      </w:r>
      <w:r>
        <w:rPr>
          <w:rFonts w:hint="eastAsia"/>
          <w:b/>
        </w:rPr>
        <w:t>组委会提供物资</w:t>
      </w:r>
    </w:p>
    <w:p w:rsidR="00F736C7" w:rsidRDefault="00CF00C2">
      <w:pPr>
        <w:widowControl/>
        <w:snapToGrid w:val="0"/>
        <w:spacing w:line="360" w:lineRule="auto"/>
        <w:ind w:firstLine="600"/>
      </w:pPr>
      <w:r>
        <w:rPr>
          <w:rFonts w:hint="eastAsia"/>
        </w:rPr>
        <w:t>实验场地、外接电源供给、排风、洗涤用水、废液桶、考核样等。</w:t>
      </w:r>
    </w:p>
    <w:p w:rsidR="00F736C7" w:rsidRDefault="00CF00C2">
      <w:pPr>
        <w:widowControl/>
        <w:topLinePunct/>
        <w:snapToGrid w:val="0"/>
        <w:spacing w:line="360" w:lineRule="auto"/>
        <w:ind w:firstLine="643"/>
        <w:rPr>
          <w:b/>
        </w:rPr>
      </w:pPr>
      <w:r>
        <w:rPr>
          <w:b/>
        </w:rPr>
        <w:t xml:space="preserve">2. </w:t>
      </w:r>
      <w:r>
        <w:rPr>
          <w:rFonts w:hint="eastAsia"/>
          <w:b/>
        </w:rPr>
        <w:t>禁用物资</w:t>
      </w:r>
    </w:p>
    <w:p w:rsidR="00F736C7" w:rsidRDefault="00CF00C2">
      <w:pPr>
        <w:widowControl/>
        <w:topLinePunct/>
        <w:snapToGrid w:val="0"/>
        <w:spacing w:line="360" w:lineRule="auto"/>
        <w:ind w:firstLineChars="200" w:firstLine="600"/>
      </w:pPr>
      <w:r>
        <w:rPr>
          <w:rFonts w:hint="eastAsia"/>
        </w:rPr>
        <w:t>各种文字材料、设备服务模块、移液枪等自动、半自动移液、配液及滴定等实验装置。</w:t>
      </w:r>
    </w:p>
    <w:p w:rsidR="00F736C7" w:rsidRDefault="00CF00C2">
      <w:pPr>
        <w:widowControl/>
        <w:topLinePunct/>
        <w:snapToGrid w:val="0"/>
        <w:spacing w:line="360" w:lineRule="auto"/>
        <w:ind w:firstLine="643"/>
        <w:rPr>
          <w:b/>
        </w:rPr>
      </w:pPr>
      <w:r>
        <w:rPr>
          <w:b/>
        </w:rPr>
        <w:t xml:space="preserve">3. </w:t>
      </w:r>
      <w:r>
        <w:rPr>
          <w:rFonts w:hint="eastAsia"/>
          <w:b/>
        </w:rPr>
        <w:t>自带物资</w:t>
      </w:r>
    </w:p>
    <w:p w:rsidR="00F736C7" w:rsidRDefault="00CF00C2">
      <w:pPr>
        <w:ind w:firstLine="640"/>
      </w:pPr>
      <w:r>
        <w:rPr>
          <w:rFonts w:hint="eastAsia"/>
        </w:rPr>
        <w:lastRenderedPageBreak/>
        <w:t>除组委会提供的物资外，实验室所需仪器设备、纯水、试剂材料、器皿量器、记录、标签、计算器等其他物资均由各代表队自行准备。</w:t>
      </w:r>
    </w:p>
    <w:p w:rsidR="00F736C7" w:rsidRDefault="00CF00C2">
      <w:pPr>
        <w:pStyle w:val="1"/>
        <w:numPr>
          <w:ilvl w:val="0"/>
          <w:numId w:val="0"/>
        </w:numPr>
        <w:tabs>
          <w:tab w:val="clear" w:pos="420"/>
        </w:tabs>
        <w:adjustRightInd w:val="0"/>
        <w:snapToGrid w:val="0"/>
        <w:rPr>
          <w:b/>
          <w:sz w:val="32"/>
          <w:szCs w:val="32"/>
        </w:rPr>
      </w:pPr>
      <w:r>
        <w:rPr>
          <w:rFonts w:hint="eastAsia"/>
          <w:b/>
          <w:sz w:val="32"/>
          <w:szCs w:val="32"/>
        </w:rPr>
        <w:t>三、赛程</w:t>
      </w:r>
    </w:p>
    <w:p w:rsidR="00F736C7" w:rsidRDefault="00CF00C2">
      <w:pPr>
        <w:widowControl/>
        <w:topLinePunct/>
        <w:snapToGrid w:val="0"/>
        <w:spacing w:line="360" w:lineRule="auto"/>
        <w:ind w:firstLineChars="200" w:firstLine="600"/>
      </w:pPr>
      <w:r>
        <w:rPr>
          <w:rFonts w:hint="eastAsia"/>
        </w:rPr>
        <w:t>本届大比武活动决赛赛程共</w:t>
      </w:r>
      <w:r>
        <w:rPr>
          <w:rFonts w:hint="eastAsia"/>
        </w:rPr>
        <w:t>两</w:t>
      </w:r>
      <w:r>
        <w:rPr>
          <w:rFonts w:hint="eastAsia"/>
        </w:rPr>
        <w:t>天，于</w:t>
      </w:r>
      <w:r>
        <w:rPr>
          <w:rFonts w:hint="eastAsia"/>
        </w:rPr>
        <w:t>6</w:t>
      </w:r>
      <w:r>
        <w:rPr>
          <w:rFonts w:hint="eastAsia"/>
        </w:rPr>
        <w:t>月</w:t>
      </w:r>
      <w:r>
        <w:rPr>
          <w:rFonts w:hint="eastAsia"/>
        </w:rPr>
        <w:t>25</w:t>
      </w:r>
      <w:r>
        <w:rPr>
          <w:rFonts w:hint="eastAsia"/>
        </w:rPr>
        <w:t>日</w:t>
      </w:r>
      <w:r>
        <w:rPr>
          <w:rFonts w:hint="eastAsia"/>
        </w:rPr>
        <w:t>-26</w:t>
      </w:r>
      <w:r>
        <w:rPr>
          <w:rFonts w:hint="eastAsia"/>
        </w:rPr>
        <w:t>日举行。</w:t>
      </w:r>
    </w:p>
    <w:p w:rsidR="00F736C7" w:rsidRDefault="00CF00C2">
      <w:pPr>
        <w:adjustRightInd w:val="0"/>
        <w:snapToGrid w:val="0"/>
        <w:spacing w:line="360" w:lineRule="auto"/>
        <w:ind w:firstLineChars="200" w:firstLine="600"/>
      </w:pPr>
      <w:r>
        <w:rPr>
          <w:rFonts w:hint="eastAsia"/>
        </w:rPr>
        <w:t>6</w:t>
      </w:r>
      <w:r>
        <w:rPr>
          <w:rFonts w:hint="eastAsia"/>
        </w:rPr>
        <w:t>月</w:t>
      </w:r>
      <w:r>
        <w:rPr>
          <w:rFonts w:hint="eastAsia"/>
        </w:rPr>
        <w:t>25</w:t>
      </w:r>
      <w:r>
        <w:rPr>
          <w:rFonts w:hint="eastAsia"/>
        </w:rPr>
        <w:t>日上午</w:t>
      </w:r>
      <w:r>
        <w:rPr>
          <w:rFonts w:hint="eastAsia"/>
        </w:rPr>
        <w:t>9:00</w:t>
      </w:r>
      <w:r>
        <w:rPr>
          <w:rFonts w:hint="eastAsia"/>
        </w:rPr>
        <w:t>前报到，</w:t>
      </w:r>
      <w:r>
        <w:rPr>
          <w:rFonts w:hint="eastAsia"/>
        </w:rPr>
        <w:t>9:30</w:t>
      </w:r>
      <w:r>
        <w:rPr>
          <w:rFonts w:hint="eastAsia"/>
        </w:rPr>
        <w:t>大比武活动开幕式，</w:t>
      </w:r>
      <w:r>
        <w:rPr>
          <w:rFonts w:hint="eastAsia"/>
        </w:rPr>
        <w:t>10:00</w:t>
      </w:r>
      <w:r>
        <w:rPr>
          <w:rFonts w:hint="eastAsia"/>
        </w:rPr>
        <w:t>理论知识考试（集中进行）；下午，现场操作竞赛（分组进行）。</w:t>
      </w:r>
    </w:p>
    <w:p w:rsidR="00F736C7" w:rsidRDefault="00CF00C2">
      <w:pPr>
        <w:adjustRightInd w:val="0"/>
        <w:snapToGrid w:val="0"/>
        <w:spacing w:line="360" w:lineRule="auto"/>
        <w:ind w:firstLineChars="200" w:firstLine="600"/>
        <w:rPr>
          <w:rFonts w:ascii="仿宋_GB2312"/>
          <w:sz w:val="32"/>
          <w:szCs w:val="32"/>
        </w:rPr>
      </w:pPr>
      <w:r>
        <w:rPr>
          <w:rFonts w:hint="eastAsia"/>
        </w:rPr>
        <w:t>6</w:t>
      </w:r>
      <w:r>
        <w:rPr>
          <w:rFonts w:hint="eastAsia"/>
        </w:rPr>
        <w:t>月</w:t>
      </w:r>
      <w:r>
        <w:rPr>
          <w:rFonts w:hint="eastAsia"/>
        </w:rPr>
        <w:t>26</w:t>
      </w:r>
      <w:r>
        <w:rPr>
          <w:rFonts w:hint="eastAsia"/>
        </w:rPr>
        <w:t>日上午，现场操作竞赛（分组进行）；下午现场操作竞赛（分组进行）。</w:t>
      </w:r>
    </w:p>
    <w:p w:rsidR="00F736C7" w:rsidRDefault="00F736C7"/>
    <w:p w:rsidR="00F736C7" w:rsidRDefault="00F736C7"/>
    <w:sectPr w:rsidR="00F736C7" w:rsidSect="00F736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0C2" w:rsidRDefault="00CF00C2" w:rsidP="00DC669E">
      <w:r>
        <w:separator/>
      </w:r>
    </w:p>
  </w:endnote>
  <w:endnote w:type="continuationSeparator" w:id="1">
    <w:p w:rsidR="00CF00C2" w:rsidRDefault="00CF00C2" w:rsidP="00DC6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00" w:usb3="00000000" w:csb0="00040000" w:csb1="00000000"/>
  </w:font>
  <w:font w:name="方正小标宋_GBK">
    <w:altName w:val="微软雅黑"/>
    <w:panose1 w:val="03000502000000000000"/>
    <w:charset w:val="86"/>
    <w:family w:val="script"/>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0C2" w:rsidRDefault="00CF00C2" w:rsidP="00DC669E">
      <w:r>
        <w:separator/>
      </w:r>
    </w:p>
  </w:footnote>
  <w:footnote w:type="continuationSeparator" w:id="1">
    <w:p w:rsidR="00CF00C2" w:rsidRDefault="00CF00C2" w:rsidP="00DC6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ideographDigit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9"/>
    <w:multiLevelType w:val="multilevel"/>
    <w:tmpl w:val="00000009"/>
    <w:lvl w:ilvl="0">
      <w:start w:val="1"/>
      <w:numFmt w:val="ideographDigital"/>
      <w:pStyle w:val="2"/>
      <w:lvlText w:val="（%1）"/>
      <w:lvlJc w:val="left"/>
      <w:pPr>
        <w:tabs>
          <w:tab w:val="left" w:pos="930"/>
        </w:tabs>
        <w:ind w:left="93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B"/>
    <w:multiLevelType w:val="multilevel"/>
    <w:tmpl w:val="0000000B"/>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36C7"/>
    <w:rsid w:val="00CF00C2"/>
    <w:rsid w:val="00DC669E"/>
    <w:rsid w:val="00F736C7"/>
    <w:rsid w:val="0B4F15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736C7"/>
    <w:pPr>
      <w:widowControl w:val="0"/>
      <w:jc w:val="both"/>
    </w:pPr>
    <w:rPr>
      <w:rFonts w:ascii="Times New Roman" w:eastAsia="仿宋_GB2312" w:hAnsi="Times New Roman" w:cs="Times New Roman"/>
      <w:kern w:val="2"/>
      <w:sz w:val="30"/>
      <w:szCs w:val="24"/>
    </w:rPr>
  </w:style>
  <w:style w:type="paragraph" w:styleId="1">
    <w:name w:val="heading 1"/>
    <w:next w:val="a"/>
    <w:rsid w:val="00F736C7"/>
    <w:pPr>
      <w:keepNext/>
      <w:keepLines/>
      <w:numPr>
        <w:numId w:val="1"/>
      </w:numPr>
      <w:outlineLvl w:val="0"/>
    </w:pPr>
    <w:rPr>
      <w:rFonts w:ascii="Times New Roman" w:eastAsia="黑体" w:hAnsi="Times New Roman" w:cs="Times New Roman"/>
      <w:bCs/>
      <w:kern w:val="44"/>
      <w:sz w:val="30"/>
      <w:szCs w:val="44"/>
    </w:rPr>
  </w:style>
  <w:style w:type="paragraph" w:styleId="2">
    <w:name w:val="heading 2"/>
    <w:next w:val="a"/>
    <w:qFormat/>
    <w:rsid w:val="00F736C7"/>
    <w:pPr>
      <w:keepNext/>
      <w:keepLines/>
      <w:numPr>
        <w:numId w:val="2"/>
      </w:numPr>
      <w:ind w:left="0" w:firstLine="0"/>
      <w:outlineLvl w:val="1"/>
    </w:pPr>
    <w:rPr>
      <w:rFonts w:ascii="Arial" w:eastAsia="楷体_GB2312" w:hAnsi="Arial"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_Style 4"/>
    <w:qFormat/>
    <w:rsid w:val="00F736C7"/>
    <w:pPr>
      <w:widowControl w:val="0"/>
      <w:jc w:val="both"/>
    </w:pPr>
    <w:rPr>
      <w:rFonts w:ascii="Calibri" w:eastAsia="宋体" w:hAnsi="Calibri" w:cs="Times New Roman"/>
      <w:kern w:val="2"/>
      <w:sz w:val="21"/>
      <w:szCs w:val="22"/>
    </w:rPr>
  </w:style>
  <w:style w:type="paragraph" w:customStyle="1" w:styleId="Style5">
    <w:name w:val="_Style 5"/>
    <w:basedOn w:val="a"/>
    <w:qFormat/>
    <w:rsid w:val="00F736C7"/>
    <w:pPr>
      <w:ind w:firstLineChars="200" w:firstLine="420"/>
    </w:pPr>
    <w:rPr>
      <w:sz w:val="32"/>
      <w:szCs w:val="20"/>
    </w:rPr>
  </w:style>
  <w:style w:type="paragraph" w:styleId="a3">
    <w:name w:val="header"/>
    <w:basedOn w:val="a"/>
    <w:link w:val="Char"/>
    <w:rsid w:val="00DC66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C669E"/>
    <w:rPr>
      <w:rFonts w:ascii="Times New Roman" w:eastAsia="仿宋_GB2312" w:hAnsi="Times New Roman" w:cs="Times New Roman"/>
      <w:kern w:val="2"/>
      <w:sz w:val="18"/>
      <w:szCs w:val="18"/>
    </w:rPr>
  </w:style>
  <w:style w:type="paragraph" w:styleId="a4">
    <w:name w:val="footer"/>
    <w:basedOn w:val="a"/>
    <w:link w:val="Char0"/>
    <w:rsid w:val="00DC669E"/>
    <w:pPr>
      <w:tabs>
        <w:tab w:val="center" w:pos="4153"/>
        <w:tab w:val="right" w:pos="8306"/>
      </w:tabs>
      <w:snapToGrid w:val="0"/>
      <w:jc w:val="left"/>
    </w:pPr>
    <w:rPr>
      <w:sz w:val="18"/>
      <w:szCs w:val="18"/>
    </w:rPr>
  </w:style>
  <w:style w:type="character" w:customStyle="1" w:styleId="Char0">
    <w:name w:val="页脚 Char"/>
    <w:basedOn w:val="a0"/>
    <w:link w:val="a4"/>
    <w:rsid w:val="00DC669E"/>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uanbao.bjx.com.cn/hot/hot_1688.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uanbao.bjx.com.cn/hot/hot_26727.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455</Words>
  <Characters>2594</Characters>
  <Application>Microsoft Office Word</Application>
  <DocSecurity>0</DocSecurity>
  <Lines>21</Lines>
  <Paragraphs>6</Paragraphs>
  <ScaleCrop>false</ScaleCrop>
  <Company>微软中国</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2</cp:revision>
  <cp:lastPrinted>2019-06-19T00:56:00Z</cp:lastPrinted>
  <dcterms:created xsi:type="dcterms:W3CDTF">2019-06-18T08:53:00Z</dcterms:created>
  <dcterms:modified xsi:type="dcterms:W3CDTF">2019-06-19T01:05:00Z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