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sz w:val="44"/>
          <w:szCs w:val="44"/>
          <w:lang w:val="en-US" w:eastAsia="zh-CN"/>
        </w:rPr>
      </w:pPr>
      <w:bookmarkStart w:id="0" w:name="_Toc9212"/>
      <w:bookmarkStart w:id="1" w:name="_Toc31213"/>
      <w:bookmarkStart w:id="2" w:name="_Toc26427"/>
      <w:bookmarkStart w:id="3" w:name="_Toc13379"/>
      <w:bookmarkStart w:id="4" w:name="_Toc25572"/>
      <w:r>
        <w:rPr>
          <w:rFonts w:hint="eastAsia" w:ascii="黑体" w:hAnsi="黑体" w:eastAsia="黑体" w:cs="黑体"/>
          <w:b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20" w:lineRule="atLeast"/>
        <w:ind w:left="0" w:leftChars="0" w:right="0" w:rightChars="0"/>
        <w:textAlignment w:val="auto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  <w:lang w:eastAsia="zh-CN"/>
        </w:rPr>
        <w:t>不良信用行为初步处理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告知书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right="0" w:rightChars="0"/>
        <w:jc w:val="right"/>
        <w:textAlignment w:val="auto"/>
        <w:rPr>
          <w:rFonts w:hint="eastAsia" w:eastAsia="仿宋_GB2312"/>
          <w:i/>
          <w:iCs/>
          <w:color w:val="FF0000"/>
          <w:sz w:val="28"/>
          <w:szCs w:val="28"/>
          <w:lang w:val="en-US" w:eastAsia="zh-CN"/>
        </w:rPr>
      </w:pPr>
      <w:r>
        <w:rPr>
          <w:rFonts w:hint="eastAsia" w:eastAsia="仿宋_GB2312"/>
          <w:i/>
          <w:iCs/>
          <w:color w:val="FF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不良初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（当事人为自然人时填写如下信息）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身份证号: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（当事人为法人或其他组织时填写如下信息）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统一社会信用代码：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 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你（单位）主要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事实（包括时间、地点、基本情况、事件经过、危害后果等） ，违反了（法律条款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或合同约定等之依据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）    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《广东省水利厅关于水利建设市场信用的管理办法》第十八条、第十九条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以及《广东省水利建设市场主体不良信用行为记录认定标准》第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项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拟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上述不良信用行为进行</w:t>
      </w:r>
      <w:bookmarkStart w:id="5" w:name="_GoBack"/>
      <w:bookmarkEnd w:id="5"/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处理，并对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的信用分值进行扣    分。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你（单位）有权在接到本告知书之日起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个工作日内向本机关提出陈述和申辩意见，逾期不提出的，视为放弃陈述和申辩的权利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本机关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将依法作出处理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（水行政主管部门名称及印章）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年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49F1"/>
    <w:rsid w:val="16B32949"/>
    <w:rsid w:val="173849DF"/>
    <w:rsid w:val="177B6B8B"/>
    <w:rsid w:val="1DDA2EF1"/>
    <w:rsid w:val="21E71941"/>
    <w:rsid w:val="3EB64C4E"/>
    <w:rsid w:val="3ED05B85"/>
    <w:rsid w:val="42DC5622"/>
    <w:rsid w:val="4A762CFC"/>
    <w:rsid w:val="56C26ED6"/>
    <w:rsid w:val="61653D5D"/>
    <w:rsid w:val="627160A5"/>
    <w:rsid w:val="62B479E1"/>
    <w:rsid w:val="726B14C7"/>
    <w:rsid w:val="790A3B60"/>
    <w:rsid w:val="7CA94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2018-11-20T11:38:00Z</dcterms:created>
  <dc:creator>DC-he</dc:creator>
  <cp:lastModifiedBy>王广明(签报内部会签)</cp:lastModifiedBy>
  <dcterms:modified xsi:type="dcterms:W3CDTF">2019-06-05T02:26:16Z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