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left"/>
        <w:rPr>
          <w:rFonts w:hint="eastAsia" w:ascii="黑体" w:hAnsi="黑体" w:eastAsia="黑体" w:cs="仿宋_GB2312"/>
          <w:color w:val="000000"/>
          <w:sz w:val="32"/>
          <w:szCs w:val="32"/>
          <w:u w:val="none" w:color="auto"/>
        </w:rPr>
      </w:pPr>
      <w:r>
        <w:rPr>
          <w:rFonts w:hint="eastAsia" w:ascii="黑体" w:hAnsi="黑体" w:eastAsia="黑体" w:cs="仿宋_GB2312"/>
          <w:color w:val="000000"/>
          <w:sz w:val="32"/>
          <w:szCs w:val="32"/>
          <w:u w:val="none" w:color="auto"/>
        </w:rPr>
        <w:t>附件</w:t>
      </w:r>
      <w:r>
        <w:rPr>
          <w:rFonts w:hint="eastAsia" w:ascii="黑体" w:hAnsi="黑体" w:eastAsia="黑体" w:cs="仿宋_GB2312"/>
          <w:color w:val="000000"/>
          <w:sz w:val="32"/>
          <w:szCs w:val="32"/>
          <w:u w:val="none" w:color="auto"/>
          <w:lang w:val="en-US" w:eastAsia="zh-CN"/>
        </w:rPr>
        <w:t>2：</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r>
        <w:rPr>
          <w:rFonts w:hint="eastAsia" w:ascii="方正小标宋简体" w:hAnsi="仿宋_GB2312" w:eastAsia="方正小标宋简体" w:cs="仿宋_GB2312"/>
          <w:color w:val="000000"/>
          <w:sz w:val="44"/>
          <w:szCs w:val="44"/>
          <w:u w:val="none" w:color="auto"/>
        </w:rPr>
        <w:t>中国（清远）跨境电子商务综合试验区中央</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r>
        <w:rPr>
          <w:rFonts w:hint="eastAsia" w:ascii="方正小标宋简体" w:hAnsi="仿宋_GB2312" w:eastAsia="方正小标宋简体" w:cs="仿宋_GB2312"/>
          <w:color w:val="000000"/>
          <w:sz w:val="44"/>
          <w:szCs w:val="44"/>
          <w:u w:val="none" w:color="auto"/>
        </w:rPr>
        <w:t>财政 2022年度外经贸发展专项资金</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r>
        <w:rPr>
          <w:rFonts w:hint="eastAsia" w:ascii="方正小标宋简体" w:hAnsi="仿宋_GB2312" w:eastAsia="方正小标宋简体" w:cs="仿宋_GB2312"/>
          <w:color w:val="000000"/>
          <w:sz w:val="44"/>
          <w:szCs w:val="44"/>
          <w:u w:val="none" w:color="auto"/>
        </w:rPr>
        <w:t>（跨境电子商务事项） 申报指南</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p>
    <w:p>
      <w:pPr>
        <w:pStyle w:val="10"/>
        <w:jc w:val="center"/>
        <w:rPr>
          <w:rFonts w:ascii="黑体" w:hAnsi="黑体" w:eastAsia="黑体" w:cs="仿宋_GB2312"/>
          <w:color w:val="000000"/>
          <w:sz w:val="32"/>
          <w:szCs w:val="32"/>
          <w:u w:val="none" w:color="auto"/>
        </w:rPr>
      </w:pPr>
      <w:r>
        <w:rPr>
          <w:rFonts w:hint="eastAsia" w:ascii="黑体" w:hAnsi="黑体" w:eastAsia="黑体" w:cs="仿宋_GB2312"/>
          <w:color w:val="000000"/>
          <w:sz w:val="32"/>
          <w:szCs w:val="32"/>
          <w:u w:val="none" w:color="auto"/>
        </w:rPr>
        <w:t>目录</w:t>
      </w:r>
    </w:p>
    <w:p>
      <w:pPr>
        <w:pStyle w:val="6"/>
        <w:rPr>
          <w:rFonts w:ascii="仿宋_GB2312" w:hAnsi="仿宋" w:eastAsia="仿宋_GB2312"/>
          <w:color w:val="000000"/>
          <w:u w:val="none" w:color="auto"/>
        </w:rPr>
      </w:pPr>
      <w:r>
        <w:rPr>
          <w:rFonts w:hint="eastAsia" w:ascii="仿宋_GB2312" w:eastAsia="仿宋_GB2312"/>
          <w:color w:val="000000"/>
          <w:u w:val="none" w:color="auto"/>
        </w:rPr>
        <w:fldChar w:fldCharType="begin"/>
      </w:r>
      <w:r>
        <w:rPr>
          <w:rFonts w:hint="eastAsia" w:ascii="仿宋_GB2312" w:eastAsia="仿宋_GB2312"/>
          <w:color w:val="000000"/>
          <w:u w:val="none" w:color="auto"/>
        </w:rPr>
        <w:instrText xml:space="preserve"> TOC \o "1-3" \h \z \u </w:instrText>
      </w:r>
      <w:r>
        <w:rPr>
          <w:rFonts w:hint="eastAsia" w:ascii="仿宋_GB2312" w:eastAsia="仿宋_GB2312"/>
          <w:color w:val="000000"/>
          <w:u w:val="none" w:color="auto"/>
        </w:rPr>
        <w:fldChar w:fldCharType="separate"/>
      </w:r>
    </w:p>
    <w:p>
      <w:pPr>
        <w:pStyle w:val="6"/>
        <w:tabs>
          <w:tab w:val="right" w:leader="dot" w:pos="8390"/>
          <w:tab w:val="clear" w:pos="8380"/>
        </w:tabs>
        <w:rPr>
          <w:color w:val="000000"/>
          <w:u w:val="none" w:color="auto"/>
        </w:rPr>
      </w:pPr>
      <w:r>
        <w:rPr>
          <w:color w:val="000000"/>
          <w:u w:val="none" w:color="auto"/>
        </w:rPr>
        <w:fldChar w:fldCharType="begin"/>
      </w:r>
      <w:r>
        <w:rPr>
          <w:color w:val="000000"/>
          <w:u w:val="none" w:color="auto"/>
        </w:rPr>
        <w:instrText xml:space="preserve"> HYPERLINK \l "_Toc7752" </w:instrText>
      </w:r>
      <w:r>
        <w:rPr>
          <w:color w:val="000000"/>
          <w:u w:val="none" w:color="auto"/>
        </w:rPr>
        <w:fldChar w:fldCharType="separate"/>
      </w:r>
      <w:r>
        <w:rPr>
          <w:rFonts w:hint="eastAsia" w:cs="宋体"/>
          <w:color w:val="000000"/>
          <w:u w:val="none" w:color="auto"/>
        </w:rPr>
        <w:t xml:space="preserve">第一章  </w:t>
      </w:r>
      <w:r>
        <w:rPr>
          <w:rFonts w:hint="eastAsia"/>
          <w:color w:val="000000"/>
          <w:szCs w:val="36"/>
          <w:u w:val="none" w:color="auto"/>
        </w:rPr>
        <w:t>申报条件及</w:t>
      </w:r>
      <w:r>
        <w:rPr>
          <w:rFonts w:hint="eastAsia"/>
          <w:color w:val="000000"/>
          <w:szCs w:val="36"/>
          <w:u w:val="none" w:color="auto"/>
          <w:lang w:eastAsia="zh-CN"/>
        </w:rPr>
        <w:t>申报材料</w:t>
      </w:r>
      <w:r>
        <w:rPr>
          <w:color w:val="000000"/>
          <w:u w:val="none" w:color="auto"/>
        </w:rPr>
        <w:tab/>
      </w:r>
      <w:r>
        <w:rPr>
          <w:rFonts w:hint="eastAsia" w:ascii="仿宋" w:hAnsi="仿宋" w:eastAsia="仿宋" w:cs="Times New Roman"/>
          <w:color w:val="000000"/>
          <w:u w:val="none" w:color="auto"/>
        </w:rPr>
        <w:t>1</w:t>
      </w:r>
      <w:r>
        <w:rPr>
          <w:rFonts w:hint="eastAsia" w:ascii="仿宋" w:hAnsi="仿宋" w:eastAsia="仿宋" w:cs="Times New Roman"/>
          <w:color w:val="000000"/>
          <w:u w:val="none" w:color="auto"/>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"_Toc31348"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一、支持公共服务平台建设</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t>1</w:t>
      </w:r>
      <w:r>
        <w:rPr>
          <w:rFonts w:hint="eastAsia" w:ascii="仿宋_GB2312" w:hAnsi="仿宋_GB2312" w:eastAsia="仿宋_GB2312" w:cs="仿宋_GB2312"/>
          <w:color w:val="000000"/>
          <w:kern w:val="2"/>
          <w:sz w:val="32"/>
          <w:szCs w:val="32"/>
          <w:u w:val="none" w:color="auto"/>
          <w:lang w:val="en-US" w:eastAsia="zh-CN" w:bidi="ar-SA"/>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"_Toc31095"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二、支持跨境电子商务清关监管场所建设</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t>2</w:t>
      </w:r>
      <w:r>
        <w:rPr>
          <w:rFonts w:hint="eastAsia" w:ascii="仿宋_GB2312" w:hAnsi="仿宋_GB2312" w:eastAsia="仿宋_GB2312" w:cs="仿宋_GB2312"/>
          <w:color w:val="000000"/>
          <w:kern w:val="2"/>
          <w:sz w:val="32"/>
          <w:szCs w:val="32"/>
          <w:u w:val="none" w:color="auto"/>
          <w:lang w:val="en-US" w:eastAsia="zh-CN" w:bidi="ar-SA"/>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"_Toc2623"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三、支持跨境电商产业集聚地（产业园区、楼宇）发展 3</w:t>
      </w:r>
      <w:r>
        <w:rPr>
          <w:rFonts w:hint="eastAsia" w:ascii="仿宋_GB2312" w:hAnsi="仿宋_GB2312" w:eastAsia="仿宋_GB2312" w:cs="仿宋_GB2312"/>
          <w:color w:val="000000"/>
          <w:kern w:val="2"/>
          <w:sz w:val="32"/>
          <w:szCs w:val="32"/>
          <w:u w:val="none" w:color="auto"/>
          <w:lang w:val="en-US" w:eastAsia="zh-CN" w:bidi="ar-SA"/>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"_Toc138"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四、支持企业开展跨境电子商务业务</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fldChar w:fldCharType="end"/>
      </w:r>
      <w:r>
        <w:rPr>
          <w:rFonts w:hint="eastAsia" w:ascii="仿宋_GB2312" w:hAnsi="仿宋_GB2312" w:eastAsia="仿宋_GB2312" w:cs="仿宋_GB2312"/>
          <w:color w:val="000000"/>
          <w:kern w:val="2"/>
          <w:sz w:val="32"/>
          <w:szCs w:val="32"/>
          <w:u w:val="none" w:color="auto"/>
          <w:lang w:val="en-US" w:eastAsia="zh-CN" w:bidi="ar-SA"/>
        </w:rPr>
        <w:t>5</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_GB2312" w:hAnsi="仿宋_GB2312" w:eastAsia="仿宋_GB2312" w:cs="仿宋_GB2312"/>
          <w:color w:val="000000"/>
          <w:kern w:val="2"/>
          <w:sz w:val="32"/>
          <w:szCs w:val="32"/>
          <w:u w:val="none" w:color="auto"/>
          <w:lang w:val="en-US" w:eastAsia="zh-CN" w:bidi="ar-SA"/>
        </w:rPr>
        <w:t>五、支持行业开展跨境电子商务对接交流活动</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t>7</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 w:hAnsi="仿宋" w:eastAsia="仿宋"/>
          <w:color w:val="000000"/>
          <w:u w:val="none" w:color="auto"/>
          <w:lang w:val="en-US" w:eastAsia="zh-CN"/>
        </w:rPr>
        <w:t>六、</w:t>
      </w:r>
      <w:r>
        <w:rPr>
          <w:rFonts w:hint="eastAsia" w:ascii="仿宋" w:hAnsi="仿宋" w:eastAsia="仿宋"/>
          <w:color w:val="000000"/>
          <w:u w:val="none" w:color="auto"/>
          <w:lang w:eastAsia="zh-CN"/>
        </w:rPr>
        <w:t>支持行业开展</w:t>
      </w:r>
      <w:r>
        <w:rPr>
          <w:rFonts w:hint="eastAsia" w:ascii="仿宋" w:hAnsi="仿宋" w:eastAsia="仿宋"/>
          <w:color w:val="000000"/>
          <w:u w:val="none" w:color="auto"/>
        </w:rPr>
        <w:t>标准</w:t>
      </w:r>
      <w:r>
        <w:rPr>
          <w:rFonts w:hint="eastAsia" w:ascii="仿宋" w:hAnsi="仿宋" w:eastAsia="仿宋"/>
          <w:color w:val="000000"/>
          <w:u w:val="none" w:color="auto"/>
          <w:lang w:eastAsia="zh-CN"/>
        </w:rPr>
        <w:t>化</w:t>
      </w:r>
      <w:r>
        <w:rPr>
          <w:rFonts w:hint="eastAsia" w:ascii="仿宋" w:hAnsi="仿宋" w:eastAsia="仿宋"/>
          <w:color w:val="000000"/>
          <w:u w:val="none" w:color="auto"/>
        </w:rPr>
        <w:t>建设</w:t>
      </w:r>
      <w:r>
        <w:rPr>
          <w:rFonts w:hint="eastAsia" w:ascii="仿宋" w:hAnsi="仿宋" w:eastAsia="仿宋"/>
          <w:color w:val="000000"/>
          <w:u w:val="none" w:color="auto"/>
          <w:lang w:eastAsia="zh-CN"/>
        </w:rPr>
        <w:t>工作</w:t>
      </w:r>
      <w:r>
        <w:rPr>
          <w:rFonts w:hint="eastAsia" w:ascii="仿宋" w:hAnsi="仿宋" w:eastAsia="仿宋"/>
          <w:color w:val="000000"/>
          <w:u w:val="none" w:color="auto"/>
        </w:rPr>
        <w:tab/>
      </w:r>
      <w:r>
        <w:rPr>
          <w:rFonts w:hint="eastAsia" w:ascii="仿宋" w:hAnsi="仿宋" w:eastAsia="仿宋"/>
          <w:color w:val="000000"/>
          <w:u w:val="none" w:color="auto"/>
          <w:lang w:val="en-US" w:eastAsia="zh-CN"/>
        </w:rPr>
        <w:t>8</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 w:hAnsi="仿宋" w:eastAsia="仿宋"/>
          <w:color w:val="000000"/>
          <w:u w:val="none" w:color="auto"/>
        </w:rPr>
        <w:fldChar w:fldCharType="begin"/>
      </w:r>
      <w:r>
        <w:rPr>
          <w:rFonts w:hint="eastAsia" w:ascii="仿宋" w:hAnsi="仿宋" w:eastAsia="仿宋"/>
          <w:color w:val="000000"/>
          <w:u w:val="none" w:color="auto"/>
        </w:rPr>
        <w:instrText xml:space="preserve"> HYPERLINK \l "_Toc12982" </w:instrText>
      </w:r>
      <w:r>
        <w:rPr>
          <w:rFonts w:hint="eastAsia" w:ascii="仿宋" w:hAnsi="仿宋" w:eastAsia="仿宋"/>
          <w:color w:val="000000"/>
          <w:u w:val="none" w:color="auto"/>
        </w:rPr>
        <w:fldChar w:fldCharType="separate"/>
      </w:r>
      <w:r>
        <w:rPr>
          <w:rFonts w:hint="eastAsia" w:ascii="仿宋" w:hAnsi="仿宋" w:eastAsia="仿宋"/>
          <w:color w:val="000000"/>
          <w:u w:val="none" w:color="auto"/>
          <w:lang w:eastAsia="zh-CN"/>
        </w:rPr>
        <w:t>七</w:t>
      </w:r>
      <w:r>
        <w:rPr>
          <w:rFonts w:hint="eastAsia" w:ascii="仿宋" w:hAnsi="仿宋" w:eastAsia="仿宋"/>
          <w:color w:val="000000"/>
          <w:u w:val="none" w:color="auto"/>
        </w:rPr>
        <w:t>、支持</w:t>
      </w:r>
      <w:r>
        <w:rPr>
          <w:rFonts w:hint="eastAsia" w:ascii="仿宋" w:hAnsi="仿宋" w:eastAsia="仿宋"/>
          <w:color w:val="000000"/>
          <w:u w:val="none" w:color="auto"/>
          <w:lang w:eastAsia="zh-CN"/>
        </w:rPr>
        <w:t>教育主体</w:t>
      </w:r>
      <w:r>
        <w:rPr>
          <w:rFonts w:hint="eastAsia" w:ascii="仿宋" w:hAnsi="仿宋" w:eastAsia="仿宋"/>
          <w:color w:val="000000"/>
          <w:u w:val="none" w:color="auto"/>
        </w:rPr>
        <w:t>开展跨境电子商务人才培养</w:t>
      </w:r>
      <w:r>
        <w:rPr>
          <w:rFonts w:hint="eastAsia" w:ascii="仿宋" w:hAnsi="仿宋" w:eastAsia="仿宋"/>
          <w:color w:val="000000"/>
          <w:u w:val="none" w:color="auto"/>
        </w:rPr>
        <w:tab/>
      </w:r>
      <w:r>
        <w:rPr>
          <w:rFonts w:hint="eastAsia" w:ascii="仿宋" w:hAnsi="仿宋" w:eastAsia="仿宋"/>
          <w:color w:val="000000"/>
          <w:u w:val="none" w:color="auto"/>
        </w:rPr>
        <w:fldChar w:fldCharType="end"/>
      </w:r>
      <w:r>
        <w:rPr>
          <w:rFonts w:hint="eastAsia" w:ascii="仿宋" w:hAnsi="仿宋" w:eastAsia="仿宋"/>
          <w:color w:val="000000"/>
          <w:u w:val="none" w:color="auto"/>
          <w:lang w:val="en-US" w:eastAsia="zh-CN"/>
        </w:rPr>
        <w:t>8</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 w:hAnsi="仿宋" w:eastAsia="仿宋"/>
          <w:color w:val="000000"/>
          <w:u w:val="none" w:color="auto"/>
        </w:rPr>
        <w:fldChar w:fldCharType="begin"/>
      </w:r>
      <w:r>
        <w:rPr>
          <w:rFonts w:hint="eastAsia" w:ascii="仿宋" w:hAnsi="仿宋" w:eastAsia="仿宋"/>
          <w:color w:val="000000"/>
          <w:u w:val="none" w:color="auto"/>
        </w:rPr>
        <w:instrText xml:space="preserve"> HYPERLINK \l "_Toc12982" </w:instrText>
      </w:r>
      <w:r>
        <w:rPr>
          <w:rFonts w:hint="eastAsia" w:ascii="仿宋" w:hAnsi="仿宋" w:eastAsia="仿宋"/>
          <w:color w:val="000000"/>
          <w:u w:val="none" w:color="auto"/>
        </w:rPr>
        <w:fldChar w:fldCharType="separate"/>
      </w:r>
      <w:r>
        <w:rPr>
          <w:rFonts w:hint="eastAsia" w:ascii="仿宋" w:hAnsi="仿宋" w:eastAsia="仿宋"/>
          <w:color w:val="000000"/>
          <w:u w:val="none" w:color="auto"/>
          <w:lang w:eastAsia="zh-CN"/>
        </w:rPr>
        <w:t>八</w:t>
      </w:r>
      <w:r>
        <w:rPr>
          <w:rFonts w:hint="eastAsia" w:ascii="仿宋" w:hAnsi="仿宋" w:eastAsia="仿宋"/>
          <w:color w:val="000000"/>
          <w:u w:val="none" w:color="auto"/>
        </w:rPr>
        <w:t>、</w:t>
      </w:r>
      <w:r>
        <w:rPr>
          <w:rFonts w:hint="eastAsia" w:ascii="仿宋" w:hAnsi="仿宋" w:eastAsia="仿宋"/>
          <w:color w:val="000000"/>
          <w:u w:val="none" w:color="auto"/>
          <w:lang w:eastAsia="zh-CN"/>
        </w:rPr>
        <w:t>附则</w:t>
      </w:r>
      <w:r>
        <w:rPr>
          <w:rFonts w:hint="eastAsia" w:ascii="仿宋" w:hAnsi="仿宋" w:eastAsia="仿宋"/>
          <w:color w:val="000000"/>
          <w:u w:val="none" w:color="auto"/>
        </w:rPr>
        <w:tab/>
      </w:r>
      <w:r>
        <w:rPr>
          <w:rFonts w:hint="eastAsia" w:ascii="仿宋" w:hAnsi="仿宋" w:eastAsia="仿宋"/>
          <w:color w:val="000000"/>
          <w:u w:val="none" w:color="auto"/>
        </w:rPr>
        <w:fldChar w:fldCharType="end"/>
      </w:r>
      <w:r>
        <w:rPr>
          <w:rFonts w:hint="eastAsia" w:ascii="仿宋" w:hAnsi="仿宋" w:eastAsia="仿宋"/>
          <w:color w:val="000000"/>
          <w:u w:val="none" w:color="auto"/>
          <w:lang w:val="en-US" w:eastAsia="zh-CN"/>
        </w:rPr>
        <w:t>9</w:t>
      </w:r>
    </w:p>
    <w:p>
      <w:pPr>
        <w:pStyle w:val="6"/>
        <w:tabs>
          <w:tab w:val="right" w:leader="dot" w:pos="8390"/>
          <w:tab w:val="clear" w:pos="8380"/>
        </w:tabs>
        <w:rPr>
          <w:color w:val="000000"/>
          <w:u w:val="none" w:color="auto"/>
        </w:rPr>
      </w:pPr>
    </w:p>
    <w:p>
      <w:pPr>
        <w:widowControl/>
        <w:rPr>
          <w:rFonts w:ascii="仿宋_GB2312" w:hAnsi="黑体" w:eastAsia="仿宋_GB2312" w:cs="仿宋_GB2312"/>
          <w:color w:val="000000"/>
          <w:sz w:val="32"/>
          <w:szCs w:val="32"/>
          <w:u w:val="none" w:color="auto"/>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247" w:gutter="0"/>
          <w:pgNumType w:fmt="decimal" w:start="0"/>
          <w:cols w:space="720" w:num="1"/>
          <w:docGrid w:type="lines" w:linePitch="579" w:charSpace="0"/>
        </w:sectPr>
      </w:pPr>
      <w:r>
        <w:rPr>
          <w:rFonts w:hint="eastAsia" w:ascii="仿宋_GB2312" w:hAnsi="黑体" w:eastAsia="仿宋_GB2312" w:cs="仿宋_GB2312"/>
          <w:color w:val="000000"/>
          <w:sz w:val="32"/>
          <w:szCs w:val="32"/>
          <w:u w:val="none" w:color="auto"/>
        </w:rPr>
        <w:fldChar w:fldCharType="end"/>
      </w:r>
      <w:bookmarkStart w:id="9" w:name="_GoBack"/>
      <w:bookmarkEnd w:id="9"/>
    </w:p>
    <w:p>
      <w:pPr>
        <w:pStyle w:val="10"/>
        <w:jc w:val="center"/>
        <w:outlineLvl w:val="0"/>
        <w:rPr>
          <w:rFonts w:hint="eastAsia"/>
          <w:color w:val="000000"/>
          <w:u w:val="none" w:color="auto"/>
          <w:lang w:val="en-US" w:eastAsia="zh-CN"/>
        </w:rPr>
      </w:pPr>
      <w:bookmarkStart w:id="0" w:name="_Toc3871"/>
      <w:bookmarkStart w:id="1" w:name="_Toc4923"/>
      <w:bookmarkStart w:id="2" w:name="_Toc32585679"/>
      <w:r>
        <w:rPr>
          <w:rFonts w:hint="eastAsia" w:ascii="黑体" w:hAnsi="黑体" w:eastAsia="黑体" w:cs="仿宋_GB2312"/>
          <w:color w:val="000000"/>
          <w:sz w:val="36"/>
          <w:szCs w:val="36"/>
          <w:u w:val="none" w:color="auto"/>
        </w:rPr>
        <w:t>第一章</w:t>
      </w:r>
      <w:bookmarkEnd w:id="0"/>
      <w:bookmarkEnd w:id="1"/>
      <w:bookmarkEnd w:id="2"/>
      <w:bookmarkStart w:id="3" w:name="_Toc7752"/>
      <w:r>
        <w:rPr>
          <w:rFonts w:hint="eastAsia" w:ascii="黑体" w:hAnsi="黑体" w:eastAsia="黑体" w:cs="仿宋_GB2312"/>
          <w:color w:val="000000"/>
          <w:sz w:val="36"/>
          <w:szCs w:val="36"/>
          <w:u w:val="none" w:color="auto"/>
        </w:rPr>
        <w:t>　申报条件及</w:t>
      </w:r>
      <w:bookmarkEnd w:id="3"/>
      <w:r>
        <w:rPr>
          <w:rFonts w:hint="eastAsia" w:ascii="黑体" w:hAnsi="黑体" w:eastAsia="黑体" w:cs="仿宋_GB2312"/>
          <w:color w:val="000000"/>
          <w:sz w:val="36"/>
          <w:szCs w:val="36"/>
          <w:u w:val="none" w:color="auto"/>
          <w:lang w:eastAsia="zh-CN"/>
        </w:rPr>
        <w:t>申报材料</w:t>
      </w:r>
      <w:bookmarkStart w:id="4" w:name="_Toc32585684"/>
      <w:bookmarkStart w:id="5" w:name="_Toc7118"/>
    </w:p>
    <w:p>
      <w:pPr>
        <w:ind w:firstLine="640" w:firstLineChars="200"/>
        <w:outlineLvl w:val="1"/>
        <w:rPr>
          <w:rFonts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一、支持公共服务平台建设</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（一）申报条件</w:t>
      </w:r>
      <w:r>
        <w:rPr>
          <w:rFonts w:hint="eastAsia" w:ascii="楷体" w:hAnsi="楷体" w:eastAsia="楷体" w:cs="楷体"/>
          <w:bCs/>
          <w:color w:val="000000"/>
          <w:sz w:val="32"/>
          <w:szCs w:val="32"/>
          <w:u w:val="none" w:color="auto"/>
          <w:lang w:val="en-US" w:eastAsia="zh-CN"/>
        </w:rPr>
        <w:t xml:space="preserve"> </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申报“支持搭建清远跨境电子商务公共服务平台”事项所需条件包括：清远市跨境电子商务公共服务平台运营单位或项目建设方，负责建设省、市商务主管部门认定的，具备通关申报、信息共享、产品溯源、金融服务、电商诚信和统计监测等方面的综合性应用平台；</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2.申报“支持清远跨境电子商务公共服务平台发展”事项所需条件包括：通过清远市跨境电子商务公共服务平台开展跨境电子商务业务的本地企业、独立站、自建跨境电子商务平台、物流公司等。</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1.申报“支持搭建清远跨境电子商务公共服务平台”事项所需证明材料包括：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（2）提供平台在通关申报、信息共享、产品溯源、金融服务、电商诚信和统计监测等方面相关材料；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（3）获得省商务厅认证文件或清远市商务局签订的合作协议、相关票据、其他有关资料。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2.申报“支持清远跨境电子商务公共服务平台发展”事项所需证明材料包括：</w:t>
      </w:r>
    </w:p>
    <w:p>
      <w:pPr>
        <w:widowControl/>
        <w:snapToGrid w:val="0"/>
        <w:spacing w:line="579" w:lineRule="exact"/>
        <w:ind w:firstLine="640" w:firstLineChars="200"/>
        <w:rPr>
          <w:rFonts w:hint="eastAsia"/>
          <w:color w:val="000000"/>
          <w:u w:val="none" w:color="auto"/>
          <w:lang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（2）企业入驻平台的注册信息材料；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（3）企业货物清关报关单证、跨境电子商务平台交易数据单证等清远纳统的进出口数据材料。</w:t>
      </w:r>
    </w:p>
    <w:p>
      <w:pPr>
        <w:numPr>
          <w:ilvl w:val="0"/>
          <w:numId w:val="1"/>
        </w:numPr>
        <w:ind w:firstLine="640" w:firstLineChars="200"/>
        <w:outlineLvl w:val="1"/>
        <w:rPr>
          <w:rFonts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支持跨境电子商务清关监管场所建设</w:t>
      </w:r>
    </w:p>
    <w:p>
      <w:pPr>
        <w:ind w:firstLine="640" w:firstLineChars="200"/>
        <w:rPr>
          <w:rFonts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1.跨境电子商务清关监管场所投资建设方、运营方、物流服务企业；</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2.清关场所已于2022年12月31日前经海关验收通过并投入使用；</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3.物流服务企业需在清远跨境电子商务清关监管场所或</w:t>
      </w:r>
      <w:r>
        <w:rPr>
          <w:rFonts w:hint="eastAsia" w:ascii="仿宋_GB2312" w:hAnsi="仿宋_GB2312" w:eastAsia="仿宋_GB2312" w:cs="仿宋_GB2312"/>
          <w:color w:val="000000"/>
          <w:sz w:val="32"/>
          <w:szCs w:val="32"/>
          <w:u w:val="none" w:color="auto"/>
        </w:rPr>
        <w:t>广州海关关区内跨境电子商务监管场所</w:t>
      </w:r>
      <w:r>
        <w:rPr>
          <w:rFonts w:hint="eastAsia" w:ascii="仿宋_GB2312" w:hAnsi="仿宋_GB2312" w:eastAsia="仿宋_GB2312" w:cs="仿宋_GB2312"/>
          <w:color w:val="000000"/>
          <w:sz w:val="32"/>
          <w:szCs w:val="32"/>
          <w:u w:val="none" w:color="auto"/>
          <w:lang w:val="en-US" w:eastAsia="zh-CN"/>
        </w:rPr>
        <w:t>以跨境电子商务海关监管方式通关进行货物运输（数据在清远纳统）；</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1.申报“支持建立清远跨境电子商务清关监管网络”事项所需证明材料包括：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（2）场所用地租赁合同或房产证复印件（合同需加盖合同章，合同章需与申报主体营业执照一致）；</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（3）海关对场所验收的证明文件；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（4）场所规划布局图及现场照片。</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2.申报“支持清远跨境电子商务清关监管场所加强国际物流清关配套设施建设”事项所需证明材料包括：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（2）场所用地租赁合同或房产证复印件（合同需加盖合同章，合同章需与申报主体营业执照一致）；</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（3）海关对场所验收的证明文件；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（4）场所规划布局图及现场照片；</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（5）场所新增固定资产清单及购置凭据。</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3.申报“支持清远跨境电子商务清关监管场所优化服务功能，提升跨境电子商务通关业务能力”事项所需证明材料包括：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（2）货物清关报关单证、口岸放行报告、提运单号等凭证。</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4.申报“支持清远跨境电子商务清关监管场所拓展国际物流业务，完善区域性空港国际物流枢纽功能”事项所需证明材料包括：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（2）提供货车货物清关报关单证、口岸放行报告、提运单号等凭证及清关货物累计数。</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lang w:eastAsia="zh-CN"/>
        </w:rPr>
        <w:t>三、</w:t>
      </w:r>
      <w:r>
        <w:rPr>
          <w:rFonts w:hint="eastAsia" w:ascii="黑体" w:hAnsi="黑体" w:eastAsia="黑体" w:cs="黑体"/>
          <w:color w:val="000000"/>
          <w:sz w:val="32"/>
          <w:szCs w:val="32"/>
          <w:u w:val="none" w:color="auto"/>
        </w:rPr>
        <w:t>支持跨境电子商务产业集聚地（产业园区、楼宇）</w:t>
      </w:r>
    </w:p>
    <w:p>
      <w:pPr>
        <w:widowControl w:val="0"/>
        <w:wordWrap/>
        <w:adjustRightInd/>
        <w:snapToGrid/>
        <w:spacing w:line="540" w:lineRule="exact"/>
        <w:ind w:left="0" w:leftChars="0" w:right="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发展</w:t>
      </w:r>
    </w:p>
    <w:p>
      <w:pPr>
        <w:ind w:firstLine="640" w:firstLineChars="200"/>
        <w:rPr>
          <w:rFonts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1．园区（楼宇）运营单位，负责园区（楼宇）招商运营工作；</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2．第一档：相关园区（楼宇）入驻的跨境电子商务企业</w:t>
      </w:r>
      <w:r>
        <w:rPr>
          <w:rFonts w:hint="eastAsia" w:ascii="仿宋_GB2312" w:hAnsi="仿宋_GB2312" w:eastAsia="仿宋_GB2312" w:cs="仿宋_GB2312"/>
          <w:color w:val="000000"/>
          <w:sz w:val="32"/>
          <w:szCs w:val="32"/>
          <w:highlight w:val="none"/>
          <w:u w:val="none" w:color="auto"/>
          <w:lang w:val="en-US" w:eastAsia="zh-CN"/>
        </w:rPr>
        <w:t>（企业需清远纳税并具备纳入清远统计的外贸交易数据）</w:t>
      </w:r>
      <w:r>
        <w:rPr>
          <w:rFonts w:hint="eastAsia" w:ascii="仿宋_GB2312" w:hAnsi="仿宋_GB2312" w:eastAsia="仿宋_GB2312" w:cs="仿宋_GB2312"/>
          <w:color w:val="000000"/>
          <w:sz w:val="32"/>
          <w:szCs w:val="32"/>
          <w:u w:val="none" w:color="auto"/>
          <w:lang w:val="en-US" w:eastAsia="zh-CN"/>
        </w:rPr>
        <w:t>达到15 家、跨境电子商务企业年度交易额合共达到2 亿元（含）人民币以上；第二档：相关园区（楼宇）入驻的跨境电子商务企业（企业需清远纳税并具备纳入清远统计的外贸交易数据）达到30 家、跨境电子商务企业年度交易额达到6亿元（含）人民币以上，且园区（楼宇）内具备综合性、平台性、普惠性跨境电商直播基地及跨境电商线下体验中心，6能综合运用现实增强（AR）、虚拟现实（VR）等技术，构建新型消费场景。跨境电子商务交易额以企业自建平台或第三平台后台交易统计数据为准。</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申报“支持跨境电子商务产业集聚地（产业园区、楼宇）发展”事项所需证明材料包括：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bookmarkStart w:id="6" w:name="_Toc32585685"/>
      <w:bookmarkStart w:id="7" w:name="_Toc26743"/>
      <w:bookmarkStart w:id="8" w:name="_Toc31095"/>
      <w:r>
        <w:rPr>
          <w:rFonts w:hint="eastAsia" w:ascii="仿宋_GB2312" w:hAnsi="仿宋_GB2312" w:eastAsia="仿宋_GB2312" w:cs="仿宋_GB2312"/>
          <w:b w:val="0"/>
          <w:bCs w:val="0"/>
          <w:color w:val="000000"/>
          <w:kern w:val="2"/>
          <w:sz w:val="32"/>
          <w:szCs w:val="32"/>
          <w:u w:val="none" w:color="auto"/>
          <w:lang w:val="en-US" w:eastAsia="zh-CN" w:bidi="ar-SA"/>
        </w:rPr>
        <w:t>2.申报主体不是园区（楼宇）开发建设单位的，需提供</w:t>
      </w:r>
      <w:r>
        <w:rPr>
          <w:rFonts w:hint="eastAsia" w:ascii="仿宋_GB2312" w:hAnsi="仿宋_GB2312" w:eastAsia="仿宋_GB2312" w:cs="仿宋_GB2312"/>
          <w:color w:val="000000"/>
          <w:sz w:val="32"/>
          <w:szCs w:val="32"/>
          <w:u w:val="none" w:color="auto"/>
          <w:lang w:val="en-US" w:eastAsia="zh-CN"/>
        </w:rPr>
        <w:t>与园区（楼宇）开发建设单位签署的委托运营合同、协议等证明文件；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3.入驻跨境电商企业清单（包括企业名称、入驻时间、企业联系人及联系方式、跨境电商企业2022年度交易额、开设的跨境电商店铺网址，根据所申报档次，分别提供15家以上和30家以上）；</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4．2022年仍在园区（楼宇）办公的企业与园区开发建设单位或运营单位签订的租售或入驻合同复印件（加盖公章，公章需与申报主体营业执照一致）；</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5．入驻跨境电商企业《营业执照》复印件；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6．入驻跨境电商企业2022年度交易额、外贸交易数据证明材料（包括但不限于后台交易统计截图或跨境电商公共服务平台上的核准统计数或海关跨境电商统计数据）。</w:t>
      </w:r>
    </w:p>
    <w:bookmarkEnd w:id="6"/>
    <w:bookmarkEnd w:id="7"/>
    <w:bookmarkEnd w:id="8"/>
    <w:p>
      <w:pPr>
        <w:ind w:firstLine="640" w:firstLineChars="200"/>
        <w:outlineLvl w:val="1"/>
        <w:rPr>
          <w:rFonts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四、支持企业开展跨境电子商务业务</w:t>
      </w:r>
    </w:p>
    <w:p>
      <w:pPr>
        <w:ind w:firstLine="640" w:firstLineChars="200"/>
        <w:rPr>
          <w:rFonts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1.清远本地注册企业，已入驻跨境电子商务第三方平台，当年企业具备纳入清远统计的外贸交易数据；</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2.清远本地注册跨境电商代运营、境内代理及第三方服务企业，给清远跨境电商企业提供保管、仓储、物流、支付等专业配套服务；</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3.清远本地注册企业，自建有跨境电商独立站，依托独立站开展仓储配送、电子支付、售后维修等本土化运营纳，当年企业具备入清远统计的外贸交易数据；</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4.清远本地注册企业，在境外自建（租用）海外仓，实现境外当地销售、当地配送，售后服务等，融入境外零售体系，当年企业具备入清远统计的外贸交易数据。</w:t>
      </w:r>
    </w:p>
    <w:p>
      <w:pPr>
        <w:rPr>
          <w:rFonts w:hint="eastAsia"/>
          <w:color w:val="000000"/>
          <w:u w:val="none" w:color="auto"/>
          <w:lang w:val="en-US" w:eastAsia="zh-CN"/>
        </w:rPr>
      </w:pP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1.</w:t>
      </w:r>
      <w:r>
        <w:rPr>
          <w:rFonts w:hint="eastAsia" w:ascii="仿宋_GB2312" w:hAnsi="仿宋_GB2312" w:eastAsia="仿宋_GB2312" w:cs="仿宋_GB2312"/>
          <w:color w:val="000000"/>
          <w:sz w:val="32"/>
          <w:szCs w:val="32"/>
          <w:u w:val="none" w:color="auto"/>
          <w:lang w:eastAsia="zh-CN"/>
        </w:rPr>
        <w:t>申报“支持清远企业贸易数字化转型，进一步拓展国际市场，开展跨境电子商务进出口业务”事项所需证明材料包括：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（2）企业货物清关报关单证等清远纳统的外贸进出口证明材料；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（3）企业与跨境电子商务平台的服务合同及支付凭证等材料（包括：注册费、服务费、物流费等）；</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（4）开展跨境电商的申报企业，需提供跨境电商平台名称、店铺名称、店铺ID、当年店铺实际交易金额、店铺后台当年度交易总额截图，以及店铺相应收款账户当年资金流向申报企业的证明材料。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2.</w:t>
      </w:r>
      <w:r>
        <w:rPr>
          <w:rFonts w:hint="eastAsia" w:ascii="仿宋_GB2312" w:hAnsi="仿宋_GB2312" w:eastAsia="仿宋_GB2312" w:cs="仿宋_GB2312"/>
          <w:color w:val="000000"/>
          <w:sz w:val="32"/>
          <w:szCs w:val="32"/>
          <w:u w:val="none" w:color="auto"/>
          <w:lang w:eastAsia="zh-CN"/>
        </w:rPr>
        <w:t>申报“支持清远企业拓展跨境电子商务代运营业务，为清远服务对象提供报关、仓储、物流、支付等跨境电子商务配套服务”事项所需证明材料包括：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（2）企业货物清关报关单证等清远纳统的外贸进出口证明材料；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（3）代运营、境内代理及第三方服务企业需提供报关、仓储、物流、支付等专业配套服务合同及营收证明材料。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3.</w:t>
      </w:r>
      <w:r>
        <w:rPr>
          <w:rFonts w:hint="eastAsia" w:ascii="仿宋_GB2312" w:hAnsi="仿宋_GB2312" w:eastAsia="仿宋_GB2312" w:cs="仿宋_GB2312"/>
          <w:color w:val="000000"/>
          <w:sz w:val="32"/>
          <w:szCs w:val="32"/>
          <w:u w:val="none" w:color="auto"/>
          <w:lang w:eastAsia="zh-CN"/>
        </w:rPr>
        <w:t>申报“</w:t>
      </w:r>
      <w:r>
        <w:rPr>
          <w:rFonts w:hint="eastAsia" w:ascii="仿宋_GB2312" w:hAnsi="仿宋_GB2312" w:eastAsia="仿宋_GB2312" w:cs="仿宋_GB2312"/>
          <w:color w:val="000000"/>
          <w:sz w:val="32"/>
          <w:szCs w:val="32"/>
          <w:u w:val="none" w:color="auto"/>
        </w:rPr>
        <w:t>支持</w:t>
      </w:r>
      <w:r>
        <w:rPr>
          <w:rFonts w:hint="eastAsia" w:ascii="仿宋_GB2312" w:hAnsi="仿宋_GB2312" w:eastAsia="仿宋_GB2312" w:cs="仿宋_GB2312"/>
          <w:color w:val="000000"/>
          <w:sz w:val="32"/>
          <w:szCs w:val="32"/>
          <w:u w:val="none" w:color="auto"/>
          <w:lang w:eastAsia="zh-CN"/>
        </w:rPr>
        <w:t>清远企业发展</w:t>
      </w:r>
      <w:r>
        <w:rPr>
          <w:rFonts w:hint="eastAsia" w:ascii="仿宋_GB2312" w:hAnsi="仿宋_GB2312" w:eastAsia="仿宋_GB2312" w:cs="仿宋_GB2312"/>
          <w:color w:val="000000"/>
          <w:sz w:val="32"/>
          <w:szCs w:val="32"/>
          <w:u w:val="none" w:color="auto"/>
        </w:rPr>
        <w:t>高能级跨境电子商务独立站，培育一批头部独立站企业，鼓励发展直达消费者（DTC）模式，打造海外自主营销品牌</w:t>
      </w:r>
      <w:r>
        <w:rPr>
          <w:rFonts w:hint="eastAsia" w:ascii="仿宋_GB2312" w:hAnsi="仿宋_GB2312" w:eastAsia="仿宋_GB2312" w:cs="仿宋_GB2312"/>
          <w:color w:val="000000"/>
          <w:sz w:val="32"/>
          <w:szCs w:val="32"/>
          <w:u w:val="none" w:color="auto"/>
          <w:lang w:eastAsia="zh-CN"/>
        </w:rPr>
        <w:t>”事项所需证明材料包括：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自建跨境电商独立站的申报企业，需提供独立站运营情况报告、运营交易总额截图，以及独立站当年资金流向申报企业的证明材料，建设跨境电商独立站的费用及支付凭证等材料（包括：设备费、软件费、自主品牌营销费、海外仓储物流费等）；</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（3）企业货物清关报关单证等清远纳统的外贸进出口证明材料；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4.</w:t>
      </w:r>
      <w:r>
        <w:rPr>
          <w:rFonts w:hint="eastAsia" w:ascii="仿宋_GB2312" w:hAnsi="仿宋_GB2312" w:eastAsia="仿宋_GB2312" w:cs="仿宋_GB2312"/>
          <w:color w:val="000000"/>
          <w:sz w:val="32"/>
          <w:szCs w:val="32"/>
          <w:u w:val="none" w:color="auto"/>
          <w:lang w:eastAsia="zh-CN"/>
        </w:rPr>
        <w:t>申报“</w:t>
      </w:r>
      <w:r>
        <w:rPr>
          <w:rFonts w:hint="eastAsia" w:ascii="仿宋_GB2312" w:hAnsi="仿宋_GB2312" w:eastAsia="仿宋_GB2312" w:cs="仿宋_GB2312"/>
          <w:color w:val="000000"/>
          <w:sz w:val="32"/>
          <w:szCs w:val="32"/>
          <w:u w:val="none" w:color="auto"/>
        </w:rPr>
        <w:t>支持</w:t>
      </w:r>
      <w:r>
        <w:rPr>
          <w:rFonts w:hint="eastAsia" w:ascii="仿宋_GB2312" w:hAnsi="仿宋_GB2312" w:eastAsia="仿宋_GB2312" w:cs="仿宋_GB2312"/>
          <w:color w:val="000000"/>
          <w:sz w:val="32"/>
          <w:szCs w:val="32"/>
          <w:u w:val="none" w:color="auto"/>
          <w:lang w:eastAsia="zh-CN"/>
        </w:rPr>
        <w:t>清远</w:t>
      </w:r>
      <w:r>
        <w:rPr>
          <w:rFonts w:hint="eastAsia" w:ascii="仿宋_GB2312" w:hAnsi="仿宋_GB2312" w:eastAsia="仿宋_GB2312" w:cs="仿宋_GB2312"/>
          <w:color w:val="000000"/>
          <w:sz w:val="32"/>
          <w:szCs w:val="32"/>
          <w:u w:val="none" w:color="auto"/>
        </w:rPr>
        <w:t>企业建设海外营销体系，鼓励企业通过自建</w:t>
      </w:r>
      <w:r>
        <w:rPr>
          <w:rFonts w:hint="eastAsia" w:ascii="仿宋_GB2312" w:hAnsi="仿宋_GB2312" w:eastAsia="仿宋_GB2312" w:cs="仿宋_GB2312"/>
          <w:color w:val="000000"/>
          <w:sz w:val="32"/>
          <w:szCs w:val="32"/>
          <w:u w:val="none" w:color="auto"/>
          <w:lang w:eastAsia="zh-CN"/>
        </w:rPr>
        <w:t>（租用）</w:t>
      </w:r>
      <w:r>
        <w:rPr>
          <w:rFonts w:hint="eastAsia" w:ascii="仿宋_GB2312" w:hAnsi="仿宋_GB2312" w:eastAsia="仿宋_GB2312" w:cs="仿宋_GB2312"/>
          <w:color w:val="000000"/>
          <w:sz w:val="32"/>
          <w:szCs w:val="32"/>
          <w:u w:val="none" w:color="auto"/>
        </w:rPr>
        <w:t>海外仓，实现境外当地销售、当地配送，售后服务等，融入境外零售体系</w:t>
      </w:r>
      <w:r>
        <w:rPr>
          <w:rFonts w:hint="eastAsia" w:ascii="仿宋_GB2312" w:hAnsi="仿宋_GB2312" w:eastAsia="仿宋_GB2312" w:cs="仿宋_GB2312"/>
          <w:color w:val="000000"/>
          <w:sz w:val="32"/>
          <w:szCs w:val="32"/>
          <w:u w:val="none" w:color="auto"/>
          <w:lang w:eastAsia="zh-CN"/>
        </w:rPr>
        <w:t>”事项所需证明材料包括：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（2）公共海外仓建设运营管理、服务功能情况、平面图、实体照片、地图定位截图、未来2年业务拓展计划等详细介绍材料；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（3）公共海外仓的营业执照或经营许可证（加盖公章的复印件）；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（4）公共海外仓的购买合同、租赁合同或合作协议，以及相关付款财务凭证等证明材料；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（5）公共海外仓的信息化管理系统截图，申报企业或其合作方相关通关、保税 、法务等合作协议或备案资料；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（6）申报企业与外贸经营主体签订的合同，以及支付公共海外仓相关服务费用凭证。</w:t>
      </w:r>
    </w:p>
    <w:p>
      <w:pPr>
        <w:widowControl/>
        <w:snapToGrid w:val="0"/>
        <w:spacing w:line="579" w:lineRule="exact"/>
        <w:ind w:firstLine="640" w:firstLineChars="200"/>
        <w:rPr>
          <w:rFonts w:hint="eastAsia"/>
          <w:color w:val="000000"/>
          <w:u w:val="none" w:color="auto"/>
          <w:lang w:val="en-US" w:eastAsia="zh-CN"/>
        </w:rPr>
      </w:pPr>
      <w:r>
        <w:rPr>
          <w:rFonts w:hint="eastAsia" w:ascii="仿宋_GB2312" w:hAnsi="仿宋_GB2312" w:eastAsia="仿宋_GB2312" w:cs="仿宋_GB2312"/>
          <w:color w:val="000000"/>
          <w:sz w:val="32"/>
          <w:szCs w:val="32"/>
          <w:u w:val="none" w:color="auto"/>
          <w:lang w:val="en-US" w:eastAsia="zh-CN"/>
        </w:rPr>
        <w:t>（7）申报企业货物清关报关单证、跨境电子商务平台交易数据单证等清远纳统的进出口数据材料。</w:t>
      </w:r>
    </w:p>
    <w:p>
      <w:pPr>
        <w:ind w:firstLine="640" w:firstLineChars="200"/>
        <w:outlineLvl w:val="1"/>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五、</w:t>
      </w:r>
      <w:r>
        <w:rPr>
          <w:rFonts w:hint="eastAsia" w:ascii="黑体" w:hAnsi="黑体" w:eastAsia="黑体" w:cs="黑体"/>
          <w:color w:val="000000"/>
          <w:sz w:val="32"/>
          <w:szCs w:val="32"/>
          <w:u w:val="none" w:color="auto"/>
          <w:lang w:eastAsia="zh-CN"/>
        </w:rPr>
        <w:t>支持行业</w:t>
      </w:r>
      <w:r>
        <w:rPr>
          <w:rFonts w:hint="eastAsia" w:ascii="黑体" w:hAnsi="黑体" w:eastAsia="黑体" w:cs="黑体"/>
          <w:color w:val="000000"/>
          <w:sz w:val="32"/>
          <w:szCs w:val="32"/>
          <w:u w:val="none" w:color="auto"/>
        </w:rPr>
        <w:t>开展跨境电子商务对接交流活动</w:t>
      </w:r>
    </w:p>
    <w:p>
      <w:pPr>
        <w:ind w:firstLine="640" w:firstLineChars="200"/>
        <w:rPr>
          <w:rFonts w:hint="eastAsia"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清远本地注册企业（协会），</w:t>
      </w:r>
      <w:r>
        <w:rPr>
          <w:rFonts w:hint="eastAsia" w:ascii="仿宋_GB2312" w:hAnsi="仿宋_GB2312" w:eastAsia="仿宋_GB2312" w:cs="仿宋_GB2312"/>
          <w:color w:val="000000"/>
          <w:sz w:val="32"/>
          <w:szCs w:val="32"/>
          <w:u w:val="none" w:color="auto"/>
          <w:lang w:eastAsia="zh-CN"/>
        </w:rPr>
        <w:t>开展</w:t>
      </w:r>
      <w:r>
        <w:rPr>
          <w:rFonts w:hint="eastAsia" w:ascii="仿宋_GB2312" w:hAnsi="仿宋_GB2312" w:eastAsia="仿宋_GB2312" w:cs="仿宋_GB2312"/>
          <w:color w:val="000000"/>
          <w:sz w:val="32"/>
          <w:szCs w:val="32"/>
          <w:u w:val="none" w:color="auto"/>
        </w:rPr>
        <w:t>举办由清远市商务局认定的跨境电子商务资源对接会、选品会、招商会、政策宣读会、业务培训会等行业活动</w:t>
      </w:r>
      <w:r>
        <w:rPr>
          <w:rFonts w:hint="eastAsia" w:ascii="仿宋_GB2312" w:hAnsi="仿宋_GB2312" w:eastAsia="仿宋_GB2312" w:cs="仿宋_GB2312"/>
          <w:color w:val="000000"/>
          <w:sz w:val="32"/>
          <w:szCs w:val="32"/>
          <w:u w:val="none" w:color="auto"/>
          <w:lang w:val="en-US" w:eastAsia="zh-CN"/>
        </w:rPr>
        <w:t>。</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申报“支持行业开展跨境电子商务对接交流活动”事项所需证明材料包括：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b w:val="0"/>
          <w:bCs w:val="0"/>
          <w:color w:val="000000"/>
          <w:kern w:val="2"/>
          <w:sz w:val="32"/>
          <w:szCs w:val="32"/>
          <w:u w:val="none" w:color="auto"/>
          <w:lang w:val="en-US" w:eastAsia="zh-CN" w:bidi="ar-SA"/>
        </w:rPr>
        <w:t>2.</w:t>
      </w:r>
      <w:r>
        <w:rPr>
          <w:rFonts w:hint="eastAsia" w:ascii="仿宋_GB2312" w:hAnsi="仿宋_GB2312" w:eastAsia="仿宋_GB2312" w:cs="仿宋_GB2312"/>
          <w:color w:val="000000"/>
          <w:sz w:val="32"/>
          <w:szCs w:val="32"/>
          <w:u w:val="none" w:color="auto"/>
          <w:lang w:val="en-US" w:eastAsia="zh-CN"/>
        </w:rPr>
        <w:t>企业（协会）举办资源对接会、选品会、招商会、政策宣读会、业务培训会等行业活动的市商务局认定材料、方案、合同、总结等相关材料。</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lang w:eastAsia="zh-CN"/>
        </w:rPr>
      </w:pPr>
      <w:r>
        <w:rPr>
          <w:rFonts w:hint="eastAsia" w:ascii="黑体" w:hAnsi="黑体" w:eastAsia="黑体" w:cs="黑体"/>
          <w:color w:val="000000"/>
          <w:sz w:val="32"/>
          <w:szCs w:val="32"/>
          <w:u w:val="none" w:color="auto"/>
        </w:rPr>
        <w:t>六</w:t>
      </w:r>
      <w:r>
        <w:rPr>
          <w:rFonts w:hint="eastAsia" w:ascii="黑体" w:hAnsi="黑体" w:eastAsia="黑体" w:cs="黑体"/>
          <w:color w:val="000000"/>
          <w:sz w:val="32"/>
          <w:szCs w:val="32"/>
          <w:u w:val="none" w:color="auto"/>
          <w:lang w:eastAsia="zh-CN"/>
        </w:rPr>
        <w:t>、支持行业开展</w:t>
      </w:r>
      <w:r>
        <w:rPr>
          <w:rFonts w:hint="eastAsia" w:ascii="黑体" w:hAnsi="黑体" w:eastAsia="黑体" w:cs="黑体"/>
          <w:color w:val="000000"/>
          <w:sz w:val="32"/>
          <w:szCs w:val="32"/>
          <w:u w:val="none" w:color="auto"/>
        </w:rPr>
        <w:t>标准</w:t>
      </w:r>
      <w:r>
        <w:rPr>
          <w:rFonts w:hint="eastAsia" w:ascii="黑体" w:hAnsi="黑体" w:eastAsia="黑体" w:cs="黑体"/>
          <w:color w:val="000000"/>
          <w:sz w:val="32"/>
          <w:szCs w:val="32"/>
          <w:u w:val="none" w:color="auto"/>
          <w:lang w:eastAsia="zh-CN"/>
        </w:rPr>
        <w:t>化</w:t>
      </w:r>
      <w:r>
        <w:rPr>
          <w:rFonts w:hint="eastAsia" w:ascii="黑体" w:hAnsi="黑体" w:eastAsia="黑体" w:cs="黑体"/>
          <w:color w:val="000000"/>
          <w:sz w:val="32"/>
          <w:szCs w:val="32"/>
          <w:u w:val="none" w:color="auto"/>
        </w:rPr>
        <w:t>建设</w:t>
      </w:r>
      <w:r>
        <w:rPr>
          <w:rFonts w:hint="eastAsia" w:ascii="黑体" w:hAnsi="黑体" w:eastAsia="黑体" w:cs="黑体"/>
          <w:color w:val="000000"/>
          <w:sz w:val="32"/>
          <w:szCs w:val="32"/>
          <w:u w:val="none" w:color="auto"/>
          <w:lang w:eastAsia="zh-CN"/>
        </w:rPr>
        <w:t>工作</w:t>
      </w:r>
    </w:p>
    <w:p>
      <w:pPr>
        <w:ind w:firstLine="640" w:firstLineChars="200"/>
        <w:rPr>
          <w:rFonts w:hint="eastAsia"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清远本地注册企业（协会），开展由清远市商务局认定的制定行业发展规划、制定行业标准、提供行业信息服务等业务。</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申报“支持行业开展标准化建设工作”事项所需证明材料包括：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2.企业（协会）制定行业发展规划、制定行业标准、提供行业信息服务等行业工作业务的市商务局认定材料、方案、合同、总结等相关材料。</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七、支持</w:t>
      </w:r>
      <w:r>
        <w:rPr>
          <w:rFonts w:hint="eastAsia" w:ascii="黑体" w:hAnsi="黑体" w:eastAsia="黑体" w:cs="黑体"/>
          <w:color w:val="000000"/>
          <w:sz w:val="32"/>
          <w:szCs w:val="32"/>
          <w:u w:val="none" w:color="auto"/>
          <w:lang w:eastAsia="zh-CN"/>
        </w:rPr>
        <w:t>教育主体</w:t>
      </w:r>
      <w:r>
        <w:rPr>
          <w:rFonts w:hint="eastAsia" w:ascii="黑体" w:hAnsi="黑体" w:eastAsia="黑体" w:cs="黑体"/>
          <w:color w:val="000000"/>
          <w:sz w:val="32"/>
          <w:szCs w:val="32"/>
          <w:u w:val="none" w:color="auto"/>
        </w:rPr>
        <w:t>开展跨境电子商务人才培养</w:t>
      </w:r>
    </w:p>
    <w:p>
      <w:pPr>
        <w:ind w:firstLine="640" w:firstLineChars="200"/>
        <w:rPr>
          <w:rFonts w:hint="eastAsia"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清远高等院校、职业教育院校等教育主体。相关主体需在实训基地内联合清远本地跨境电子商务企业开展跨境电子商务业务培训、开店（建站）、营销等实训项目，在校内建立跨境电子商务业务类实训基地。</w:t>
      </w:r>
    </w:p>
    <w:p>
      <w:pPr>
        <w:numPr>
          <w:ilvl w:val="0"/>
          <w:numId w:val="2"/>
        </w:num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申报“支持教育主体开展跨境电子商务人才培养”事项所需证明材料包括：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bookmarkEnd w:id="4"/>
    <w:bookmarkEnd w:id="5"/>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2.教育主体与跨境电子商务企业签订的实训基地合作协议，参加基地跨境电商培训人员名单（包括姓名、身份证号）、身份证复印件、培训证书复印件；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3.实训基地培训课程、课时表、授课图片等证明材料；</w:t>
      </w:r>
    </w:p>
    <w:p>
      <w:pPr>
        <w:widowControl/>
        <w:snapToGrid w:val="0"/>
        <w:spacing w:line="579" w:lineRule="exact"/>
        <w:ind w:firstLine="640" w:firstLineChars="200"/>
        <w:rPr>
          <w:rFonts w:ascii="黑体" w:hAnsi="黑体" w:eastAsia="黑体" w:cs="仿宋_GB2312"/>
          <w:color w:val="000000"/>
          <w:sz w:val="36"/>
          <w:szCs w:val="36"/>
          <w:u w:val="none" w:color="auto"/>
        </w:rPr>
      </w:pPr>
      <w:r>
        <w:rPr>
          <w:rFonts w:hint="eastAsia" w:ascii="仿宋_GB2312" w:hAnsi="仿宋_GB2312" w:eastAsia="仿宋_GB2312" w:cs="仿宋_GB2312"/>
          <w:color w:val="000000"/>
          <w:sz w:val="32"/>
          <w:szCs w:val="32"/>
          <w:u w:val="none" w:color="auto"/>
          <w:lang w:val="en-US" w:eastAsia="zh-CN"/>
        </w:rPr>
        <w:t>4.参加跨境电商培训人员在跨境电子商务企业实际运营、开设网店等工作情况及图片等证明材料。</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八、附则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（一）享受上述扶持政策的企业（机构）必须同时具备</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以下条件：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1.严格遵守相关法律法规和有关规定开展跨境电子商务经营活动，接受相关部门监管。</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2.企业注册地在清远市，具有健全的财务制度、实行独立核算、依法纳税，且承诺3年内不迁离清远本地，不改变在清远本地区的纳税义务和征统关系，无信用黑名单记录。</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（二）本措施与清远市现行政策重叠，或国家、省出台有关新政策的，按符合规定的最优惠政策执行，不可重复申报享受。</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（三）凡注明“一次性资金支持”的，是指在本措施实施期间，同一企业只能享受一次该项资金支持。</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（四）获得奖励的涉税支出由企业（机构）自行承担。</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（五）本措施由市商务局会同有关单位负责具体解释。</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（六）本措施自印发之日起实施，有效期2 年。实施过程中可根据实施情况依法评估修订。</w:t>
      </w:r>
    </w:p>
    <w:p>
      <w:pPr>
        <w:pStyle w:val="2"/>
        <w:rPr>
          <w:rFonts w:hint="eastAsia" w:ascii="仿宋_GB2312" w:hAnsi="仿宋_GB2312" w:eastAsia="仿宋_GB2312" w:cs="仿宋_GB2312"/>
          <w:color w:val="000000"/>
          <w:sz w:val="32"/>
          <w:szCs w:val="32"/>
          <w:u w:val="none" w:color="auto"/>
          <w:lang w:val="en-US" w:eastAsia="zh-CN"/>
        </w:rPr>
      </w:pPr>
    </w:p>
    <w:p>
      <w:pPr>
        <w:rPr>
          <w:rFonts w:hint="eastAsia" w:ascii="仿宋_GB2312" w:hAnsi="仿宋_GB2312" w:eastAsia="仿宋_GB2312" w:cs="仿宋_GB2312"/>
          <w:color w:val="000000"/>
          <w:sz w:val="32"/>
          <w:szCs w:val="32"/>
          <w:u w:val="none" w:color="auto"/>
          <w:lang w:val="en-US" w:eastAsia="zh-CN"/>
        </w:rPr>
      </w:pPr>
    </w:p>
    <w:p>
      <w:pPr>
        <w:pStyle w:val="2"/>
        <w:rPr>
          <w:rFonts w:hint="eastAsia" w:ascii="仿宋_GB2312" w:hAnsi="仿宋_GB2312" w:eastAsia="仿宋_GB2312" w:cs="仿宋_GB2312"/>
          <w:color w:val="000000"/>
          <w:sz w:val="32"/>
          <w:szCs w:val="32"/>
          <w:u w:val="none" w:color="auto"/>
          <w:lang w:val="en-US" w:eastAsia="zh-CN"/>
        </w:rPr>
      </w:pPr>
    </w:p>
    <w:p>
      <w:pPr>
        <w:rPr>
          <w:rFonts w:hint="eastAsia" w:ascii="仿宋_GB2312" w:hAnsi="仿宋_GB2312" w:eastAsia="仿宋_GB2312" w:cs="仿宋_GB2312"/>
          <w:color w:val="000000"/>
          <w:sz w:val="32"/>
          <w:szCs w:val="32"/>
          <w:u w:val="none" w:color="auto"/>
          <w:lang w:val="en-US" w:eastAsia="zh-CN"/>
        </w:rPr>
      </w:pPr>
    </w:p>
    <w:p>
      <w:pPr>
        <w:pStyle w:val="2"/>
        <w:rPr>
          <w:rFonts w:hint="eastAsia" w:ascii="仿宋_GB2312" w:hAnsi="仿宋_GB2312" w:eastAsia="仿宋_GB2312" w:cs="仿宋_GB2312"/>
          <w:color w:val="000000"/>
          <w:sz w:val="32"/>
          <w:szCs w:val="32"/>
          <w:u w:val="none" w:color="auto"/>
          <w:lang w:val="en-US" w:eastAsia="zh-CN"/>
        </w:rPr>
      </w:pPr>
    </w:p>
    <w:p>
      <w:pPr>
        <w:pStyle w:val="2"/>
        <w:rPr>
          <w:rFonts w:hint="eastAsia" w:ascii="仿宋_GB2312" w:hAnsi="仿宋_GB2312" w:eastAsia="仿宋_GB2312" w:cs="仿宋_GB2312"/>
          <w:color w:val="000000"/>
          <w:sz w:val="32"/>
          <w:szCs w:val="32"/>
          <w:u w:val="none" w:color="auto"/>
          <w:lang w:val="en-US" w:eastAsia="zh-CN"/>
        </w:rPr>
      </w:pPr>
    </w:p>
    <w:p>
      <w:pPr>
        <w:rPr>
          <w:rFonts w:hint="eastAsia"/>
          <w:color w:val="000000"/>
          <w:u w:val="none" w:color="auto"/>
          <w:lang w:val="en-US" w:eastAsia="zh-CN"/>
        </w:rPr>
      </w:pP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p>
    <w:p>
      <w:pPr>
        <w:rPr>
          <w:color w:val="000000"/>
          <w:u w:val="none" w:color="auto"/>
        </w:rPr>
      </w:pPr>
    </w:p>
    <w:sectPr>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r>
      <w:rPr>
        <w:rFonts w:ascii="Calibri" w:hAnsi="Calibri" w:eastAsia="宋体" w:cs="黑体"/>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5AC95"/>
    <w:multiLevelType w:val="singleLevel"/>
    <w:tmpl w:val="CA65AC95"/>
    <w:lvl w:ilvl="0" w:tentative="0">
      <w:start w:val="2"/>
      <w:numFmt w:val="chineseCounting"/>
      <w:suff w:val="nothing"/>
      <w:lvlText w:val="（%1）"/>
      <w:lvlJc w:val="left"/>
      <w:rPr>
        <w:rFonts w:hint="eastAsia"/>
      </w:rPr>
    </w:lvl>
  </w:abstractNum>
  <w:abstractNum w:abstractNumId="1">
    <w:nsid w:val="D85AC05E"/>
    <w:multiLevelType w:val="singleLevel"/>
    <w:tmpl w:val="D85AC05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4104B8C"/>
    <w:rsid w:val="07BF8124"/>
    <w:rsid w:val="07C03530"/>
    <w:rsid w:val="081B3299"/>
    <w:rsid w:val="085A0151"/>
    <w:rsid w:val="092E7A52"/>
    <w:rsid w:val="09A61128"/>
    <w:rsid w:val="0B2B6D8E"/>
    <w:rsid w:val="113B2154"/>
    <w:rsid w:val="17F60A0A"/>
    <w:rsid w:val="1A505BCE"/>
    <w:rsid w:val="1BFFDBEC"/>
    <w:rsid w:val="1C8B37C5"/>
    <w:rsid w:val="1CB56937"/>
    <w:rsid w:val="1D9E400C"/>
    <w:rsid w:val="24207025"/>
    <w:rsid w:val="24391E87"/>
    <w:rsid w:val="260F7DFF"/>
    <w:rsid w:val="26B1751D"/>
    <w:rsid w:val="27E22F1E"/>
    <w:rsid w:val="290E3259"/>
    <w:rsid w:val="2A706C25"/>
    <w:rsid w:val="2BF07DAD"/>
    <w:rsid w:val="2E134ED4"/>
    <w:rsid w:val="2FDD1E3C"/>
    <w:rsid w:val="32713C7E"/>
    <w:rsid w:val="33BC4BC5"/>
    <w:rsid w:val="36F26B36"/>
    <w:rsid w:val="39FF33C6"/>
    <w:rsid w:val="3B35A705"/>
    <w:rsid w:val="3BB851C0"/>
    <w:rsid w:val="3CAC31BF"/>
    <w:rsid w:val="3DB6FC52"/>
    <w:rsid w:val="3E385AEB"/>
    <w:rsid w:val="3F8827B1"/>
    <w:rsid w:val="3FEFEEAE"/>
    <w:rsid w:val="40D850FE"/>
    <w:rsid w:val="41D14039"/>
    <w:rsid w:val="42372B0A"/>
    <w:rsid w:val="427215EA"/>
    <w:rsid w:val="439877E4"/>
    <w:rsid w:val="441C5E44"/>
    <w:rsid w:val="45D82EF5"/>
    <w:rsid w:val="466020FF"/>
    <w:rsid w:val="47B90335"/>
    <w:rsid w:val="49E2406C"/>
    <w:rsid w:val="4AB962CB"/>
    <w:rsid w:val="4DB90026"/>
    <w:rsid w:val="50527D62"/>
    <w:rsid w:val="51802283"/>
    <w:rsid w:val="54104B8C"/>
    <w:rsid w:val="57701F66"/>
    <w:rsid w:val="58B82D12"/>
    <w:rsid w:val="599A3F24"/>
    <w:rsid w:val="59A13094"/>
    <w:rsid w:val="5A745EC9"/>
    <w:rsid w:val="5D955CBD"/>
    <w:rsid w:val="5FEDB7B1"/>
    <w:rsid w:val="61C5468D"/>
    <w:rsid w:val="62DF1758"/>
    <w:rsid w:val="66FE9AD9"/>
    <w:rsid w:val="67767450"/>
    <w:rsid w:val="680D48D8"/>
    <w:rsid w:val="694048CA"/>
    <w:rsid w:val="69A536F5"/>
    <w:rsid w:val="6A051715"/>
    <w:rsid w:val="6AFF28F6"/>
    <w:rsid w:val="6B0B7B5D"/>
    <w:rsid w:val="6BB94DDC"/>
    <w:rsid w:val="6C501C4E"/>
    <w:rsid w:val="6CE24C8A"/>
    <w:rsid w:val="6FFF392B"/>
    <w:rsid w:val="706D007D"/>
    <w:rsid w:val="713A2EB3"/>
    <w:rsid w:val="716F14FC"/>
    <w:rsid w:val="73D54930"/>
    <w:rsid w:val="74121813"/>
    <w:rsid w:val="779E04D6"/>
    <w:rsid w:val="7BB91DDA"/>
    <w:rsid w:val="7D3A470A"/>
    <w:rsid w:val="7EFFD151"/>
    <w:rsid w:val="7F1311D7"/>
    <w:rsid w:val="7F145766"/>
    <w:rsid w:val="7F2474CD"/>
    <w:rsid w:val="7FDBE27E"/>
    <w:rsid w:val="7FFCFC61"/>
    <w:rsid w:val="8BDBF24C"/>
    <w:rsid w:val="9FFA4A0E"/>
    <w:rsid w:val="B9FE7491"/>
    <w:rsid w:val="BBAFF6DD"/>
    <w:rsid w:val="CF5FC497"/>
    <w:rsid w:val="CFFDE35D"/>
    <w:rsid w:val="D65FD3A9"/>
    <w:rsid w:val="D77DA2BD"/>
    <w:rsid w:val="DB9B3DF0"/>
    <w:rsid w:val="DFF05844"/>
    <w:rsid w:val="F73BAC2E"/>
    <w:rsid w:val="FBDEC1BD"/>
    <w:rsid w:val="FDEBC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textAlignment w:val="baseline"/>
    </w:pPr>
    <w:rPr>
      <w:rFonts w:ascii="Calibri" w:hAnsi="Calibri"/>
      <w:b/>
      <w:bCs/>
      <w:kern w:val="44"/>
      <w:sz w:val="44"/>
      <w:szCs w:val="44"/>
    </w:rPr>
  </w:style>
  <w:style w:type="paragraph" w:styleId="3">
    <w:name w:val="Body Text"/>
    <w:basedOn w:val="1"/>
    <w:qFormat/>
    <w:uiPriority w:val="0"/>
    <w:pPr>
      <w:spacing w:after="120"/>
    </w:pPr>
    <w:rPr>
      <w:rFonts w:ascii="Times New Roman" w:hAnsi="Times New Roman"/>
    </w:rPr>
  </w:style>
  <w:style w:type="paragraph" w:styleId="4">
    <w:name w:val="footer"/>
    <w:basedOn w:val="1"/>
    <w:unhideWhenUsed/>
    <w:qFormat/>
    <w:uiPriority w:val="99"/>
    <w:pPr>
      <w:tabs>
        <w:tab w:val="center" w:pos="4153"/>
        <w:tab w:val="right" w:pos="8306"/>
      </w:tabs>
      <w:snapToGrid w:val="0"/>
      <w:spacing w:line="240" w:lineRule="atLeast"/>
      <w:ind w:firstLine="200" w:firstLineChars="200"/>
      <w:jc w:val="left"/>
    </w:pPr>
    <w:rPr>
      <w:rFonts w:ascii="Calibri" w:hAnsi="Calibri" w:eastAsia="宋体" w:cs="黑体"/>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rFonts w:ascii="Calibri" w:hAnsi="Calibri" w:eastAsia="宋体" w:cs="黑体"/>
      <w:sz w:val="18"/>
      <w:szCs w:val="18"/>
    </w:rPr>
  </w:style>
  <w:style w:type="paragraph" w:styleId="6">
    <w:name w:val="toc 1"/>
    <w:basedOn w:val="1"/>
    <w:next w:val="1"/>
    <w:qFormat/>
    <w:uiPriority w:val="0"/>
    <w:pPr>
      <w:tabs>
        <w:tab w:val="right" w:leader="dot" w:pos="8380"/>
      </w:tabs>
    </w:pPr>
    <w:rPr>
      <w:rFonts w:ascii="黑体" w:hAnsi="黑体" w:eastAsia="黑体" w:cs="仿宋_GB2312"/>
      <w:sz w:val="32"/>
      <w:szCs w:val="32"/>
    </w:rPr>
  </w:style>
  <w:style w:type="paragraph" w:styleId="7">
    <w:name w:val="toc 2"/>
    <w:basedOn w:val="1"/>
    <w:next w:val="1"/>
    <w:qFormat/>
    <w:uiPriority w:val="0"/>
    <w:pPr>
      <w:tabs>
        <w:tab w:val="right" w:leader="dot" w:pos="8380"/>
      </w:tabs>
      <w:ind w:left="420" w:leftChars="200"/>
    </w:pPr>
    <w:rPr>
      <w:rFonts w:ascii="宋体" w:hAnsi="宋体"/>
      <w:sz w:val="32"/>
      <w:szCs w:val="32"/>
    </w:rPr>
  </w:style>
  <w:style w:type="paragraph" w:customStyle="1" w:styleId="10">
    <w:name w:val="p0"/>
    <w:basedOn w:val="1"/>
    <w:qFormat/>
    <w:uiPriority w:val="0"/>
    <w:pPr>
      <w:widowControl/>
    </w:pPr>
    <w:rPr>
      <w:kern w:val="0"/>
      <w:szCs w:val="21"/>
    </w:rPr>
  </w:style>
  <w:style w:type="paragraph" w:customStyle="1" w:styleId="11">
    <w:name w:val="标题2"/>
    <w:basedOn w:val="1"/>
    <w:qFormat/>
    <w:uiPriority w:val="0"/>
    <w:pPr>
      <w:spacing w:line="600" w:lineRule="exact"/>
      <w:jc w:val="center"/>
    </w:pPr>
    <w:rPr>
      <w:rFonts w:ascii="方正小标宋简体" w:eastAsia="方正小标宋简体"/>
      <w:color w:val="00000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2022-09-21T00:03:00Z</dcterms:created>
  <dc:creator>Administrator</dc:creator>
  <cp:lastModifiedBy>user</cp:lastModifiedBy>
  <cp:lastPrinted>2022-10-21T19:20:00Z</cp:lastPrinted>
  <dcterms:modified xsi:type="dcterms:W3CDTF">2022-10-21T14:57:11Z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