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eastAsia="zh-CN"/>
        </w:rPr>
        <w:t>附表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  <w:t>1</w:t>
      </w:r>
    </w:p>
    <w:p>
      <w:pPr>
        <w:spacing w:before="156" w:beforeLines="50" w:line="3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u w:val="single"/>
          <w:lang w:eastAsia="zh-CN"/>
        </w:rPr>
      </w:pPr>
    </w:p>
    <w:p>
      <w:pPr>
        <w:spacing w:before="156" w:beforeLines="50" w:line="360" w:lineRule="exact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bookmarkStart w:id="0" w:name="_GoBack"/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清远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市出租汽车行业市场运行监测指标统计表</w:t>
      </w:r>
    </w:p>
    <w:p>
      <w:pPr>
        <w:spacing w:line="360" w:lineRule="exact"/>
        <w:jc w:val="center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（</w:t>
      </w:r>
      <w:r>
        <w:rPr>
          <w:rFonts w:hint="eastAsia" w:ascii="黑体" w:hAnsi="黑体" w:eastAsia="黑体" w:cs="黑体"/>
          <w:color w:val="auto"/>
          <w:sz w:val="30"/>
          <w:szCs w:val="30"/>
          <w:u w:val="none" w:color="auto"/>
          <w:lang w:val="en-US" w:eastAsia="zh-CN"/>
        </w:rPr>
        <w:t>2022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7月至12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月）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719"/>
        <w:gridCol w:w="3559"/>
        <w:gridCol w:w="1305"/>
        <w:gridCol w:w="106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61" w:type="dxa"/>
            <w:tcBorders>
              <w:bottom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一级指标</w:t>
            </w:r>
          </w:p>
        </w:tc>
        <w:tc>
          <w:tcPr>
            <w:tcW w:w="4278" w:type="dxa"/>
            <w:gridSpan w:val="2"/>
            <w:tcBorders>
              <w:bottom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二级指标</w:t>
            </w:r>
          </w:p>
        </w:tc>
        <w:tc>
          <w:tcPr>
            <w:tcW w:w="1305" w:type="dxa"/>
            <w:tcBorders>
              <w:bottom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指标类型</w:t>
            </w:r>
          </w:p>
        </w:tc>
        <w:tc>
          <w:tcPr>
            <w:tcW w:w="1065" w:type="dxa"/>
            <w:tcBorders>
              <w:bottom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指标值</w:t>
            </w:r>
          </w:p>
        </w:tc>
        <w:tc>
          <w:tcPr>
            <w:tcW w:w="1291" w:type="dxa"/>
            <w:tcBorders>
              <w:bottom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61" w:type="dxa"/>
            <w:vMerge w:val="restart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市场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规模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27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巡游车企业（家）</w:t>
            </w:r>
          </w:p>
        </w:tc>
        <w:tc>
          <w:tcPr>
            <w:tcW w:w="130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06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61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2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巡游车（辆）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val="en-US" w:eastAsia="zh-CN"/>
              </w:rPr>
              <w:t>542</w:t>
            </w:r>
          </w:p>
        </w:tc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61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其中</w:t>
            </w:r>
          </w:p>
        </w:tc>
        <w:tc>
          <w:tcPr>
            <w:tcW w:w="35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新能源巡游车（辆）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自选指标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287</w:t>
            </w:r>
          </w:p>
        </w:tc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161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2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巡游车驾驶员（人）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3050</w:t>
            </w:r>
          </w:p>
        </w:tc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eastAsia="zh-CN"/>
              </w:rPr>
              <w:t>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61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2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网约车平台公司（家）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61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2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网约车（辆）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val="en-US" w:eastAsia="zh-CN"/>
              </w:rPr>
              <w:t>5986</w:t>
            </w:r>
          </w:p>
        </w:tc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val="en-US" w:eastAsia="zh-CN"/>
              </w:rPr>
              <w:t>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61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其中</w:t>
            </w:r>
          </w:p>
        </w:tc>
        <w:tc>
          <w:tcPr>
            <w:tcW w:w="3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新能源网约车（辆）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自选指标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5958</w:t>
            </w:r>
          </w:p>
        </w:tc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61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2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网约车驾驶员（人）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val="en-US" w:eastAsia="zh-CN"/>
              </w:rPr>
              <w:t>20501</w:t>
            </w:r>
          </w:p>
        </w:tc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eastAsia="zh-CN"/>
              </w:rPr>
              <w:t>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61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2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巡游车增减数量（±辆）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+35</w:t>
            </w:r>
          </w:p>
        </w:tc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61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2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网约车增减数量（±辆）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+1170</w:t>
            </w:r>
          </w:p>
        </w:tc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61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2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网约车驾驶员增减数量（±人）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+3732</w:t>
            </w:r>
          </w:p>
        </w:tc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61" w:type="dxa"/>
            <w:vMerge w:val="restart"/>
            <w:tcBorders>
              <w:top w:val="single" w:color="auto" w:sz="1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市场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运营</w:t>
            </w:r>
          </w:p>
        </w:tc>
        <w:tc>
          <w:tcPr>
            <w:tcW w:w="42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巡游车单车日均载客次数（次）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8-14</w:t>
            </w:r>
          </w:p>
        </w:tc>
        <w:tc>
          <w:tcPr>
            <w:tcW w:w="12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巡游车平均出车率（%）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90%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巡游车单车日均运营里程（公里）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170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巡游车单车日均载客里程（公里）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自选指标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97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巡游车单车日均营收（元）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210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巡游车驾驶员日均工作小时（小时）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自选指标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网约车单车日均订单（单）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其中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运距&lt;10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公里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的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日均订单数（单）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运距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≥10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公里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的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日均订单数（单）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4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日均订单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&lt;10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单的网约车（辆）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4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日均订单≥10单的网约车（辆）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5986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其中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单车日均运营里程（公里）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160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单车日均营收（元）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220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仿宋" w:cs="Arial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单车日均在线时长（小时）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自选指标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61" w:type="dxa"/>
            <w:vMerge w:val="restart"/>
            <w:tcBorders>
              <w:top w:val="single" w:color="auto" w:sz="12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  <w:t>市场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  <w:t>秩序</w:t>
            </w:r>
          </w:p>
        </w:tc>
        <w:tc>
          <w:tcPr>
            <w:tcW w:w="4278" w:type="dxa"/>
            <w:gridSpan w:val="2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查处非法营运案件（宗）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190</w:t>
            </w:r>
          </w:p>
        </w:tc>
        <w:tc>
          <w:tcPr>
            <w:tcW w:w="1291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查处出租汽车营运违章案件（宗）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228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其中</w:t>
            </w:r>
          </w:p>
        </w:tc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color w:val="auto"/>
                <w:sz w:val="2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1"/>
                <w:highlight w:val="none"/>
              </w:rPr>
              <w:t>查处营运违章案件前三名巡游车企业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柏安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color w:val="auto"/>
                <w:sz w:val="2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1"/>
                <w:highlight w:val="none"/>
              </w:rPr>
              <w:t>查处营运违章案件前三名网约车平台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滴滴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乘客有效投诉数量（件）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38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巡游出租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19" w:type="dxa"/>
            <w:vMerge w:val="restart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其中</w:t>
            </w:r>
          </w:p>
        </w:tc>
        <w:tc>
          <w:tcPr>
            <w:tcW w:w="355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乘客有效投诉率前三名巡游车企业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柏安、雄兴、快通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61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355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乘客有效投诉率前三名网约车平台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滴滴、花小猪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MjgwNzU0OGI2NDVkMmYxMmYwMjE4YWY2MjA2ODYifQ=="/>
  </w:docVars>
  <w:rsids>
    <w:rsidRoot w:val="7C930DAA"/>
    <w:rsid w:val="7C93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2023-01-28T13:28:00Z</dcterms:created>
  <dc:creator>是爪爪鸭</dc:creator>
  <cp:lastModifiedBy>是爪爪鸭</cp:lastModifiedBy>
  <dcterms:modified xsi:type="dcterms:W3CDTF">2023-01-28T13:28:32Z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1EB6B88197B2424EB1DC6CA34E154A9F</vt:lpwstr>
  </property>
</Properties>
</file>