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附件2：</w:t>
      </w:r>
    </w:p>
    <w:p>
      <w:pPr>
        <w:pStyle w:val="2"/>
        <w:rPr>
          <w:rFonts w:hint="eastAsia"/>
        </w:rPr>
      </w:pPr>
    </w:p>
    <w:p>
      <w:pPr>
        <w:spacing w:line="400" w:lineRule="exact"/>
        <w:ind w:firstLine="720" w:firstLineChars="200"/>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清远高新区和谐劳动关系认定标准（100分）</w:t>
      </w:r>
    </w:p>
    <w:bookmarkEnd w:id="0"/>
    <w:tbl>
      <w:tblPr>
        <w:tblStyle w:val="5"/>
        <w:tblW w:w="16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371"/>
        <w:gridCol w:w="1717"/>
        <w:gridCol w:w="1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blHeader/>
          <w:jc w:val="center"/>
        </w:trPr>
        <w:tc>
          <w:tcPr>
            <w:tcW w:w="627" w:type="dxa"/>
            <w:noWrap w:val="0"/>
            <w:vAlign w:val="center"/>
          </w:tcPr>
          <w:p>
            <w:pPr>
              <w:pStyle w:val="3"/>
              <w:adjustRightInd w:val="0"/>
              <w:snapToGrid w:val="0"/>
              <w:spacing w:line="240" w:lineRule="exact"/>
              <w:rPr>
                <w:rFonts w:hint="eastAsia" w:ascii="黑体" w:hAnsi="黑体" w:eastAsia="黑体" w:cs="黑体"/>
                <w:b w:val="0"/>
                <w:bCs w:val="0"/>
                <w:spacing w:val="-12"/>
                <w:sz w:val="21"/>
                <w:szCs w:val="21"/>
              </w:rPr>
            </w:pPr>
            <w:r>
              <w:rPr>
                <w:rFonts w:hint="eastAsia" w:ascii="黑体" w:hAnsi="黑体" w:eastAsia="黑体" w:cs="黑体"/>
                <w:b w:val="0"/>
                <w:bCs w:val="0"/>
                <w:spacing w:val="-12"/>
                <w:sz w:val="21"/>
                <w:szCs w:val="21"/>
              </w:rPr>
              <w:t>项目序号</w:t>
            </w:r>
          </w:p>
        </w:tc>
        <w:tc>
          <w:tcPr>
            <w:tcW w:w="1371" w:type="dxa"/>
            <w:noWrap w:val="0"/>
            <w:vAlign w:val="center"/>
          </w:tcPr>
          <w:p>
            <w:pPr>
              <w:pStyle w:val="3"/>
              <w:adjustRightInd w:val="0"/>
              <w:snapToGrid w:val="0"/>
              <w:spacing w:line="240" w:lineRule="exact"/>
              <w:rPr>
                <w:rFonts w:hint="eastAsia" w:ascii="黑体" w:hAnsi="黑体" w:eastAsia="黑体" w:cs="黑体"/>
                <w:b w:val="0"/>
                <w:bCs w:val="0"/>
                <w:spacing w:val="-12"/>
                <w:sz w:val="21"/>
                <w:szCs w:val="21"/>
              </w:rPr>
            </w:pPr>
            <w:r>
              <w:rPr>
                <w:rFonts w:hint="eastAsia" w:ascii="黑体" w:hAnsi="黑体" w:eastAsia="黑体" w:cs="黑体"/>
                <w:b w:val="0"/>
                <w:bCs w:val="0"/>
                <w:spacing w:val="-12"/>
                <w:sz w:val="21"/>
                <w:szCs w:val="21"/>
              </w:rPr>
              <w:t>类别</w:t>
            </w:r>
          </w:p>
        </w:tc>
        <w:tc>
          <w:tcPr>
            <w:tcW w:w="1717" w:type="dxa"/>
            <w:noWrap w:val="0"/>
            <w:vAlign w:val="center"/>
          </w:tcPr>
          <w:p>
            <w:pPr>
              <w:pStyle w:val="3"/>
              <w:adjustRightInd w:val="0"/>
              <w:snapToGrid w:val="0"/>
              <w:spacing w:line="240" w:lineRule="exact"/>
              <w:rPr>
                <w:rFonts w:hint="eastAsia" w:ascii="黑体" w:hAnsi="黑体" w:eastAsia="黑体" w:cs="黑体"/>
                <w:b w:val="0"/>
                <w:bCs w:val="0"/>
                <w:sz w:val="21"/>
                <w:szCs w:val="21"/>
              </w:rPr>
            </w:pPr>
            <w:r>
              <w:rPr>
                <w:rFonts w:hint="eastAsia" w:ascii="黑体" w:hAnsi="黑体" w:eastAsia="黑体" w:cs="黑体"/>
                <w:b w:val="0"/>
                <w:bCs w:val="0"/>
                <w:sz w:val="21"/>
                <w:szCs w:val="21"/>
              </w:rPr>
              <w:t>项目及分值</w:t>
            </w:r>
          </w:p>
        </w:tc>
        <w:tc>
          <w:tcPr>
            <w:tcW w:w="12615" w:type="dxa"/>
            <w:noWrap w:val="0"/>
            <w:vAlign w:val="center"/>
          </w:tcPr>
          <w:p>
            <w:pPr>
              <w:pStyle w:val="3"/>
              <w:adjustRightInd w:val="0"/>
              <w:snapToGrid w:val="0"/>
              <w:spacing w:line="240" w:lineRule="exact"/>
              <w:rPr>
                <w:rFonts w:hint="eastAsia" w:ascii="黑体" w:hAnsi="黑体" w:eastAsia="黑体" w:cs="黑体"/>
                <w:b w:val="0"/>
                <w:bCs w:val="0"/>
                <w:sz w:val="21"/>
                <w:szCs w:val="21"/>
              </w:rPr>
            </w:pPr>
            <w:r>
              <w:rPr>
                <w:rFonts w:hint="eastAsia" w:ascii="黑体" w:hAnsi="黑体" w:eastAsia="黑体" w:cs="黑体"/>
                <w:b w:val="0"/>
                <w:bCs w:val="0"/>
                <w:sz w:val="21"/>
                <w:szCs w:val="21"/>
              </w:rPr>
              <w:t>子项及分值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sz w:val="18"/>
                <w:szCs w:val="18"/>
              </w:rPr>
            </w:pPr>
            <w:r>
              <w:rPr>
                <w:rFonts w:eastAsia="仿宋_GB2312"/>
                <w:b w:val="0"/>
                <w:sz w:val="18"/>
                <w:szCs w:val="18"/>
              </w:rPr>
              <w:t>1</w:t>
            </w:r>
          </w:p>
        </w:tc>
        <w:tc>
          <w:tcPr>
            <w:tcW w:w="1371" w:type="dxa"/>
            <w:vMerge w:val="restart"/>
            <w:noWrap w:val="0"/>
            <w:vAlign w:val="center"/>
          </w:tcPr>
          <w:p>
            <w:pPr>
              <w:pStyle w:val="3"/>
              <w:adjustRightInd w:val="0"/>
              <w:snapToGrid w:val="0"/>
              <w:spacing w:line="240" w:lineRule="exact"/>
              <w:rPr>
                <w:rFonts w:hint="eastAsia" w:eastAsia="仿宋_GB2312"/>
                <w:b w:val="0"/>
                <w:sz w:val="18"/>
                <w:szCs w:val="18"/>
              </w:rPr>
            </w:pPr>
            <w:r>
              <w:rPr>
                <w:rFonts w:hint="eastAsia" w:eastAsia="仿宋_GB2312"/>
                <w:b w:val="0"/>
                <w:sz w:val="18"/>
                <w:szCs w:val="18"/>
              </w:rPr>
              <w:t>劳动合同制度</w:t>
            </w:r>
          </w:p>
        </w:tc>
        <w:tc>
          <w:tcPr>
            <w:tcW w:w="1717" w:type="dxa"/>
            <w:vMerge w:val="restart"/>
            <w:noWrap w:val="0"/>
            <w:vAlign w:val="center"/>
          </w:tcPr>
          <w:p>
            <w:pPr>
              <w:pStyle w:val="3"/>
              <w:adjustRightInd w:val="0"/>
              <w:snapToGrid w:val="0"/>
              <w:spacing w:line="240" w:lineRule="exact"/>
              <w:ind w:left="-67" w:leftChars="-32" w:right="-73" w:rightChars="-35"/>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贯彻执行劳动合同法，全面推行劳动合同制度，依法规范履行劳动合同（1</w:t>
            </w:r>
            <w:r>
              <w:rPr>
                <w:rFonts w:hint="eastAsia" w:ascii="楷体_GB2312" w:hAnsi="楷体_GB2312" w:eastAsia="楷体_GB2312" w:cs="楷体_GB2312"/>
                <w:b w:val="0"/>
                <w:sz w:val="20"/>
                <w:lang w:val="en-US" w:eastAsia="zh-CN"/>
              </w:rPr>
              <w:t>5</w:t>
            </w:r>
            <w:r>
              <w:rPr>
                <w:rFonts w:hint="eastAsia" w:ascii="楷体_GB2312" w:hAnsi="楷体_GB2312" w:eastAsia="楷体_GB2312" w:cs="楷体_GB2312"/>
                <w:b w:val="0"/>
                <w:sz w:val="20"/>
              </w:rPr>
              <w:t>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eastAsia="仿宋_GB2312"/>
                <w:b w:val="0"/>
                <w:sz w:val="20"/>
              </w:rPr>
              <w:t>企业招用员工，自用工之日起一个月内</w:t>
            </w:r>
            <w:r>
              <w:rPr>
                <w:rFonts w:hint="eastAsia" w:ascii="仿宋_GB2312" w:hAnsi="仿宋_GB2312" w:eastAsia="仿宋_GB2312" w:cs="仿宋_GB2312"/>
                <w:b w:val="0"/>
                <w:sz w:val="20"/>
              </w:rPr>
              <w:t>与员工签订书面劳动合同（含电子劳动合同）</w:t>
            </w:r>
            <w:r>
              <w:rPr>
                <w:rFonts w:eastAsia="仿宋_GB2312"/>
                <w:b w:val="0"/>
                <w:sz w:val="20"/>
              </w:rPr>
              <w:t>，且签订率达到100%</w:t>
            </w:r>
            <w:r>
              <w:rPr>
                <w:rFonts w:hint="eastAsia" w:ascii="仿宋_GB2312" w:hAnsi="仿宋_GB2312" w:eastAsia="仿宋_GB2312" w:cs="仿宋_GB2312"/>
                <w:b w:val="0"/>
                <w:sz w:val="2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企业使用“清易签”（高新区电子劳动合同信息化服务平台）或企业自有的电子劳动合同平台与员工签订电子劳动合同。（</w:t>
            </w:r>
            <w:r>
              <w:rPr>
                <w:rFonts w:hint="eastAsia" w:ascii="仿宋_GB2312" w:hAnsi="仿宋_GB2312" w:eastAsia="仿宋_GB2312" w:cs="仿宋_GB2312"/>
                <w:b w:val="0"/>
                <w:sz w:val="20"/>
                <w:lang w:val="en-US" w:eastAsia="zh-CN"/>
              </w:rPr>
              <w:t>3</w:t>
            </w:r>
            <w:r>
              <w:rPr>
                <w:rFonts w:hint="eastAsia" w:ascii="仿宋_GB2312" w:hAnsi="仿宋_GB2312" w:eastAsia="仿宋_GB2312" w:cs="仿宋_GB2312"/>
                <w:b w:val="0"/>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ascii="仿宋_GB2312" w:hAnsi="仿宋_GB2312" w:eastAsia="仿宋_GB2312" w:cs="仿宋_GB2312"/>
                <w:b w:val="0"/>
                <w:sz w:val="20"/>
              </w:rPr>
            </w:pPr>
            <w:r>
              <w:rPr>
                <w:rFonts w:hint="eastAsia" w:ascii="仿宋_GB2312" w:hAnsi="仿宋_GB2312" w:eastAsia="仿宋_GB2312" w:cs="仿宋_GB2312"/>
                <w:b w:val="0"/>
                <w:sz w:val="20"/>
              </w:rPr>
              <w:t>企业使用“清易签”（高新区电子劳动合同信息化服务平台）或企业自有的电子劳动合同平台与员工签订的电子劳动合同占总合同数70%及以上。（4分）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sz w:val="18"/>
                <w:szCs w:val="18"/>
              </w:rPr>
            </w:pPr>
          </w:p>
        </w:tc>
        <w:tc>
          <w:tcPr>
            <w:tcW w:w="1371" w:type="dxa"/>
            <w:vMerge w:val="continue"/>
            <w:noWrap w:val="0"/>
            <w:vAlign w:val="center"/>
          </w:tcPr>
          <w:p>
            <w:pPr>
              <w:pStyle w:val="3"/>
              <w:adjustRightInd w:val="0"/>
              <w:snapToGrid w:val="0"/>
              <w:spacing w:line="240" w:lineRule="exact"/>
              <w:rPr>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劳动合同在订立、履行、变更、续签、解除或者终止时，程序合法，行为规范。（2分）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sz w:val="18"/>
                <w:szCs w:val="18"/>
              </w:rPr>
            </w:pPr>
          </w:p>
        </w:tc>
        <w:tc>
          <w:tcPr>
            <w:tcW w:w="1371" w:type="dxa"/>
            <w:vMerge w:val="continue"/>
            <w:noWrap w:val="0"/>
            <w:vAlign w:val="center"/>
          </w:tcPr>
          <w:p>
            <w:pPr>
              <w:pStyle w:val="3"/>
              <w:adjustRightInd w:val="0"/>
              <w:snapToGrid w:val="0"/>
              <w:spacing w:line="240" w:lineRule="exact"/>
              <w:rPr>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企业按规定及时为员工办理就业登记，如有招用外国人和港澳台人员就业的按规定办理就业许可手续。（1分）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eastAsia="仿宋_GB2312"/>
                <w:b w:val="0"/>
                <w:sz w:val="20"/>
              </w:rPr>
              <w:t>企业依法使用劳务派遣</w:t>
            </w:r>
            <w:r>
              <w:rPr>
                <w:rFonts w:hint="eastAsia" w:eastAsia="仿宋_GB2312"/>
                <w:b w:val="0"/>
                <w:sz w:val="20"/>
              </w:rPr>
              <w:t>，</w:t>
            </w:r>
            <w:r>
              <w:rPr>
                <w:rFonts w:eastAsia="仿宋_GB2312"/>
                <w:b w:val="0"/>
                <w:sz w:val="20"/>
              </w:rPr>
              <w:t>提供与工作岗位相关的福利待遇，并对其进行工作岗位所必需的培训</w:t>
            </w:r>
            <w:r>
              <w:rPr>
                <w:rFonts w:hint="eastAsia" w:eastAsia="仿宋_GB2312"/>
                <w:b w:val="0"/>
                <w:sz w:val="20"/>
              </w:rPr>
              <w:t>，</w:t>
            </w:r>
            <w:r>
              <w:rPr>
                <w:rFonts w:hint="eastAsia" w:ascii="仿宋_GB2312" w:hAnsi="仿宋_GB2312" w:eastAsia="仿宋_GB2312" w:cs="仿宋_GB2312"/>
                <w:b w:val="0"/>
                <w:sz w:val="20"/>
              </w:rPr>
              <w:t>被派遣劳动者享有与用工单位的劳动者同工同酬的权利。（2分）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sz w:val="18"/>
                <w:szCs w:val="18"/>
              </w:rPr>
            </w:pPr>
            <w:r>
              <w:rPr>
                <w:rFonts w:eastAsia="仿宋_GB2312"/>
                <w:b w:val="0"/>
                <w:sz w:val="18"/>
                <w:szCs w:val="18"/>
              </w:rPr>
              <w:t>2</w:t>
            </w: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restart"/>
            <w:noWrap w:val="0"/>
            <w:vAlign w:val="center"/>
          </w:tcPr>
          <w:p>
            <w:pPr>
              <w:pStyle w:val="3"/>
              <w:adjustRightInd w:val="0"/>
              <w:snapToGrid w:val="0"/>
              <w:spacing w:line="240" w:lineRule="exact"/>
              <w:ind w:left="-80" w:leftChars="-38"/>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按时足额支付工资达到100%，依法制定工资支付制度（5分）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eastAsia="仿宋_GB2312"/>
                <w:b w:val="0"/>
                <w:sz w:val="20"/>
              </w:rPr>
              <w:t>按时足额支付工资达到100%：企业按照劳动合同中约定的确定工资支付周期，将工资以货币形式按时足额直接支付给员工本人，没有拖欠或者克扣工资行为；企业委托银行代发工资的，在约定的工资支付日前将员工工资足额存入其本人账户。</w:t>
            </w:r>
            <w:r>
              <w:rPr>
                <w:rFonts w:hint="eastAsia" w:ascii="仿宋_GB2312" w:hAnsi="仿宋_GB2312" w:eastAsia="仿宋_GB2312" w:cs="仿宋_GB2312"/>
                <w:b w:val="0"/>
                <w:sz w:val="20"/>
              </w:rPr>
              <w:t xml:space="preserve">（2分）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eastAsia="仿宋_GB2312"/>
                <w:b w:val="0"/>
                <w:sz w:val="20"/>
              </w:rPr>
              <w:t>企业与员工在劳动合同中依法约定正常工作时间，约定的员工正常工作时间工资不得低于当地最低工资标准。</w:t>
            </w:r>
            <w:r>
              <w:rPr>
                <w:rFonts w:hint="eastAsia" w:ascii="仿宋_GB2312" w:hAnsi="仿宋_GB2312" w:eastAsia="仿宋_GB2312" w:cs="仿宋_GB2312"/>
                <w:b w:val="0"/>
                <w:sz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企业依法合理制定本单位的工资支付制度，并依法通过公示等有效方式告知全体员工。（1分）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sz w:val="18"/>
                <w:szCs w:val="18"/>
              </w:rPr>
            </w:pPr>
            <w:r>
              <w:rPr>
                <w:rFonts w:eastAsia="仿宋_GB2312"/>
                <w:b w:val="0"/>
                <w:sz w:val="18"/>
                <w:szCs w:val="18"/>
              </w:rPr>
              <w:t>3</w:t>
            </w: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restart"/>
            <w:noWrap w:val="0"/>
            <w:vAlign w:val="center"/>
          </w:tcPr>
          <w:p>
            <w:pPr>
              <w:pStyle w:val="3"/>
              <w:adjustRightInd w:val="0"/>
              <w:snapToGrid w:val="0"/>
              <w:spacing w:line="240" w:lineRule="exact"/>
              <w:ind w:left="-107" w:leftChars="-51" w:right="-59" w:rightChars="-28" w:firstLine="14" w:firstLineChars="7"/>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依法参加社会保险（4分）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企业依法为员工办理社会保险登记，参保率为100%。（2分）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企业依法依规及时为员工办理社会保险等各项相关手续。（2分）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sz w:val="18"/>
                <w:szCs w:val="18"/>
              </w:rPr>
            </w:pPr>
            <w:r>
              <w:rPr>
                <w:rFonts w:eastAsia="仿宋_GB2312"/>
                <w:b w:val="0"/>
                <w:sz w:val="18"/>
                <w:szCs w:val="18"/>
              </w:rPr>
              <w:t>4</w:t>
            </w: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restart"/>
            <w:noWrap w:val="0"/>
            <w:vAlign w:val="center"/>
          </w:tcPr>
          <w:p>
            <w:pPr>
              <w:pStyle w:val="3"/>
              <w:adjustRightInd w:val="0"/>
              <w:snapToGrid w:val="0"/>
              <w:spacing w:line="240" w:lineRule="exact"/>
              <w:ind w:left="-67" w:leftChars="-32" w:right="-73" w:rightChars="-35" w:firstLine="1"/>
              <w:jc w:val="both"/>
              <w:rPr>
                <w:rFonts w:hint="eastAsia" w:ascii="楷体_GB2312" w:hAnsi="楷体_GB2312" w:eastAsia="楷体_GB2312" w:cs="楷体_GB2312"/>
                <w:b w:val="0"/>
                <w:spacing w:val="-4"/>
                <w:sz w:val="20"/>
              </w:rPr>
            </w:pPr>
            <w:r>
              <w:rPr>
                <w:rFonts w:hint="eastAsia" w:ascii="楷体_GB2312" w:hAnsi="楷体_GB2312" w:eastAsia="楷体_GB2312" w:cs="楷体_GB2312"/>
                <w:b w:val="0"/>
                <w:spacing w:val="-4"/>
                <w:sz w:val="20"/>
              </w:rPr>
              <w:t>严格执行国家工时、休息休假制度（4分）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企业依法执行工时制度。（1分）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企业实行综合计算工时工作制或不定时工作制的，有及时报劳动行政部门审批。（2分）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pacing w:val="-12"/>
                <w:sz w:val="20"/>
              </w:rPr>
            </w:pPr>
            <w:r>
              <w:rPr>
                <w:rFonts w:hint="eastAsia" w:ascii="仿宋_GB2312" w:hAnsi="仿宋_GB2312" w:eastAsia="仿宋_GB2312" w:cs="仿宋_GB2312"/>
                <w:b w:val="0"/>
                <w:spacing w:val="-12"/>
                <w:sz w:val="20"/>
              </w:rPr>
              <w:t>企业依法执行休息休假制度。（1分）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sz w:val="18"/>
                <w:szCs w:val="18"/>
              </w:rPr>
            </w:pPr>
            <w:r>
              <w:rPr>
                <w:rFonts w:eastAsia="仿宋_GB2312"/>
                <w:b w:val="0"/>
                <w:sz w:val="18"/>
                <w:szCs w:val="18"/>
              </w:rPr>
              <w:t>5</w:t>
            </w:r>
          </w:p>
        </w:tc>
        <w:tc>
          <w:tcPr>
            <w:tcW w:w="1371" w:type="dxa"/>
            <w:vMerge w:val="restart"/>
            <w:noWrap w:val="0"/>
            <w:vAlign w:val="center"/>
          </w:tcPr>
          <w:p>
            <w:pPr>
              <w:pStyle w:val="3"/>
              <w:adjustRightInd w:val="0"/>
              <w:snapToGrid w:val="0"/>
              <w:spacing w:line="240" w:lineRule="exact"/>
              <w:rPr>
                <w:rFonts w:hint="eastAsia" w:eastAsia="仿宋_GB2312"/>
                <w:b w:val="0"/>
                <w:sz w:val="18"/>
                <w:szCs w:val="18"/>
              </w:rPr>
            </w:pPr>
            <w:r>
              <w:rPr>
                <w:rFonts w:hint="eastAsia" w:eastAsia="仿宋_GB2312"/>
                <w:b w:val="0"/>
                <w:sz w:val="18"/>
                <w:szCs w:val="18"/>
              </w:rPr>
              <w:t>安全生产制度</w:t>
            </w:r>
          </w:p>
        </w:tc>
        <w:tc>
          <w:tcPr>
            <w:tcW w:w="1717" w:type="dxa"/>
            <w:vMerge w:val="restart"/>
            <w:noWrap w:val="0"/>
            <w:vAlign w:val="center"/>
          </w:tcPr>
          <w:p>
            <w:pPr>
              <w:pStyle w:val="3"/>
              <w:adjustRightInd w:val="0"/>
              <w:snapToGrid w:val="0"/>
              <w:spacing w:line="240" w:lineRule="exact"/>
              <w:ind w:left="-82" w:leftChars="-44" w:right="-107" w:rightChars="-51" w:hanging="10" w:hangingChars="5"/>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建立健全劳动保护措施和劳动安全卫生条件（12分）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企业建立健全劳动安全卫生制度，对员工进行了劳动安全卫生教育、应急救护培训系列活动。（3分）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企业配备了劳动安全卫生设施，为员工提供了符合国家规定的劳动安全卫生条件和必要的劳动保护用品，有特殊劳动保护措施。（1分）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企业建立了伤亡事故、职业病统计报告和处理制度及职业病防治措施，对特殊工作岗位员工入职前进行入职体检，入职后定期安排职业病防治检查，对从事有职业危害作业的员工定期进行健康检查。（3分）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ascii="仿宋_GB2312" w:hAnsi="仿宋_GB2312" w:eastAsia="仿宋_GB2312" w:cs="仿宋_GB2312"/>
                <w:b w:val="0"/>
                <w:sz w:val="20"/>
              </w:rPr>
            </w:pPr>
            <w:r>
              <w:rPr>
                <w:rFonts w:hint="eastAsia" w:ascii="仿宋_GB2312" w:hAnsi="仿宋_GB2312" w:eastAsia="仿宋_GB2312" w:cs="仿宋_GB2312"/>
                <w:b w:val="0"/>
                <w:sz w:val="20"/>
              </w:rPr>
              <w:t>企业积极完善职业病监测体系，将职业健康体系纳入员工入职体检项目。（3分）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企业依法及时为因工作遭受事故伤害或者患职业病的员工办理工伤认定和劳动能力等级鉴定，并及时支付有关工伤待遇。（2分）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sz w:val="18"/>
                <w:szCs w:val="18"/>
              </w:rPr>
            </w:pPr>
            <w:r>
              <w:rPr>
                <w:rFonts w:eastAsia="仿宋_GB2312"/>
                <w:b w:val="0"/>
                <w:sz w:val="18"/>
                <w:szCs w:val="18"/>
              </w:rPr>
              <w:t>6</w:t>
            </w:r>
          </w:p>
        </w:tc>
        <w:tc>
          <w:tcPr>
            <w:tcW w:w="1371" w:type="dxa"/>
            <w:vMerge w:val="restart"/>
            <w:noWrap w:val="0"/>
            <w:vAlign w:val="center"/>
          </w:tcPr>
          <w:p>
            <w:pPr>
              <w:pStyle w:val="3"/>
              <w:adjustRightInd w:val="0"/>
              <w:snapToGrid w:val="0"/>
              <w:spacing w:line="240" w:lineRule="exact"/>
              <w:rPr>
                <w:rFonts w:hint="eastAsia" w:eastAsia="仿宋_GB2312"/>
                <w:b w:val="0"/>
                <w:sz w:val="18"/>
                <w:szCs w:val="18"/>
              </w:rPr>
            </w:pPr>
            <w:r>
              <w:rPr>
                <w:rFonts w:hint="eastAsia" w:eastAsia="仿宋_GB2312"/>
                <w:b w:val="0"/>
                <w:sz w:val="18"/>
                <w:szCs w:val="18"/>
              </w:rPr>
              <w:t>妇女及未成年人保护制度</w:t>
            </w:r>
          </w:p>
        </w:tc>
        <w:tc>
          <w:tcPr>
            <w:tcW w:w="1717" w:type="dxa"/>
            <w:vMerge w:val="restart"/>
            <w:noWrap w:val="0"/>
            <w:vAlign w:val="center"/>
          </w:tcPr>
          <w:p>
            <w:pPr>
              <w:pStyle w:val="3"/>
              <w:adjustRightInd w:val="0"/>
              <w:snapToGrid w:val="0"/>
              <w:spacing w:line="240" w:lineRule="exact"/>
              <w:ind w:right="-73" w:rightChars="-35"/>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遵守女职工和未成年工劳动保护规定（7分）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严格执行《女职工劳动保护特别规定》：没有安排女员工从事矿山井下、国家规定的第四级体力劳动强度的劳动和其他禁忌从事的劳动；没有安排女员工在经期从事高处、低温、冷水作业和国家规定的第三级体力劳动强度的劳动；没有安排女员工在怀孕期间、哺乳期间从事国家规定的第三级体力劳动强度的劳动和孕期、哺乳期禁忌从事的劳动；对怀孕七个月以上和哺乳未满一周岁婴儿的女员工，没有安排其延长工作时间和夜班劳动。（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hint="eastAsia" w:eastAsia="仿宋_GB2312"/>
                <w:b w:val="0"/>
                <w:sz w:val="18"/>
                <w:szCs w:val="18"/>
              </w:rPr>
            </w:pPr>
          </w:p>
        </w:tc>
        <w:tc>
          <w:tcPr>
            <w:tcW w:w="1371" w:type="dxa"/>
            <w:vMerge w:val="continue"/>
            <w:noWrap w:val="0"/>
            <w:vAlign w:val="center"/>
          </w:tcPr>
          <w:p>
            <w:pPr>
              <w:pStyle w:val="3"/>
              <w:adjustRightInd w:val="0"/>
              <w:snapToGrid w:val="0"/>
              <w:spacing w:line="240" w:lineRule="exact"/>
              <w:rPr>
                <w:rFonts w:hint="eastAsia"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企业依法安排生育女员工休产假。（2分）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jc w:val="both"/>
              <w:rPr>
                <w:sz w:val="18"/>
                <w:szCs w:val="18"/>
              </w:rPr>
            </w:pPr>
          </w:p>
        </w:tc>
        <w:tc>
          <w:tcPr>
            <w:tcW w:w="1371" w:type="dxa"/>
            <w:vMerge w:val="continue"/>
            <w:noWrap w:val="0"/>
            <w:vAlign w:val="center"/>
          </w:tcPr>
          <w:p>
            <w:pPr>
              <w:pStyle w:val="3"/>
              <w:adjustRightInd w:val="0"/>
              <w:snapToGrid w:val="0"/>
              <w:spacing w:line="240" w:lineRule="exact"/>
              <w:jc w:val="both"/>
              <w:rPr>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没有在女员工怀孕期、产期、哺乳期降低其基本工资或者借故解除劳动合同。（1分）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pacing w:val="-6"/>
                <w:sz w:val="20"/>
              </w:rPr>
              <w:t>没有安排未成年工（指年满十六周岁未满十八周岁）从事矿山井下、有毒有害、国家规定的第四级体力劳动强度的劳动和其他禁忌从事的劳动。（1分）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7" w:type="dxa"/>
            <w:vMerge w:val="continue"/>
            <w:noWrap w:val="0"/>
            <w:vAlign w:val="center"/>
          </w:tcPr>
          <w:p>
            <w:pPr>
              <w:pStyle w:val="3"/>
              <w:adjustRightInd w:val="0"/>
              <w:snapToGrid w:val="0"/>
              <w:spacing w:line="240" w:lineRule="exact"/>
              <w:rPr>
                <w:sz w:val="18"/>
                <w:szCs w:val="18"/>
              </w:rPr>
            </w:pPr>
          </w:p>
        </w:tc>
        <w:tc>
          <w:tcPr>
            <w:tcW w:w="1371" w:type="dxa"/>
            <w:vMerge w:val="continue"/>
            <w:noWrap w:val="0"/>
            <w:vAlign w:val="center"/>
          </w:tcPr>
          <w:p>
            <w:pPr>
              <w:pStyle w:val="3"/>
              <w:adjustRightInd w:val="0"/>
              <w:snapToGrid w:val="0"/>
              <w:spacing w:line="240" w:lineRule="exact"/>
              <w:rPr>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企业对女员工、未成年工定期进行健康检查。（1分）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hint="eastAsia" w:ascii="仿宋_GB2312" w:hAnsi="仿宋_GB2312" w:eastAsia="仿宋_GB2312" w:cs="仿宋_GB2312"/>
                <w:sz w:val="18"/>
                <w:szCs w:val="18"/>
              </w:rPr>
            </w:pPr>
            <w:r>
              <w:rPr>
                <w:rFonts w:eastAsia="仿宋_GB2312"/>
                <w:b w:val="0"/>
                <w:bCs w:val="0"/>
                <w:sz w:val="18"/>
                <w:szCs w:val="18"/>
              </w:rPr>
              <w:t>7</w:t>
            </w:r>
          </w:p>
        </w:tc>
        <w:tc>
          <w:tcPr>
            <w:tcW w:w="1371" w:type="dxa"/>
            <w:vMerge w:val="restart"/>
            <w:noWrap w:val="0"/>
            <w:vAlign w:val="center"/>
          </w:tcPr>
          <w:p>
            <w:pPr>
              <w:pStyle w:val="3"/>
              <w:adjustRightInd w:val="0"/>
              <w:snapToGrid w:val="0"/>
              <w:spacing w:line="240" w:lineRule="exact"/>
              <w:jc w:val="both"/>
              <w:rPr>
                <w:rFonts w:hint="eastAsia" w:eastAsia="仿宋_GB2312"/>
                <w:b w:val="0"/>
                <w:bCs w:val="0"/>
                <w:sz w:val="18"/>
                <w:szCs w:val="18"/>
              </w:rPr>
            </w:pPr>
          </w:p>
          <w:p>
            <w:pPr>
              <w:pStyle w:val="3"/>
              <w:adjustRightInd w:val="0"/>
              <w:snapToGrid w:val="0"/>
              <w:spacing w:line="240" w:lineRule="exact"/>
              <w:jc w:val="both"/>
              <w:rPr>
                <w:rFonts w:hint="eastAsia" w:eastAsia="仿宋_GB2312"/>
                <w:b w:val="0"/>
                <w:bCs w:val="0"/>
                <w:sz w:val="18"/>
                <w:szCs w:val="18"/>
              </w:rPr>
            </w:pPr>
            <w:r>
              <w:rPr>
                <w:rFonts w:hint="eastAsia" w:eastAsia="仿宋_GB2312"/>
                <w:b w:val="0"/>
                <w:bCs w:val="0"/>
                <w:sz w:val="18"/>
                <w:szCs w:val="18"/>
              </w:rPr>
              <w:t>集体协商制度</w:t>
            </w:r>
          </w:p>
          <w:p>
            <w:pPr>
              <w:pStyle w:val="3"/>
              <w:adjustRightInd w:val="0"/>
              <w:snapToGrid w:val="0"/>
              <w:spacing w:line="240" w:lineRule="exact"/>
              <w:rPr>
                <w:rFonts w:eastAsia="仿宋_GB2312"/>
                <w:b w:val="0"/>
                <w:sz w:val="18"/>
                <w:szCs w:val="18"/>
              </w:rPr>
            </w:pPr>
          </w:p>
        </w:tc>
        <w:tc>
          <w:tcPr>
            <w:tcW w:w="1717" w:type="dxa"/>
            <w:vMerge w:val="restart"/>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建立集体合同制度，推行工资集体协商制度（4分）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eastAsia="仿宋_GB2312"/>
                <w:b w:val="0"/>
                <w:spacing w:val="-4"/>
                <w:sz w:val="20"/>
              </w:rPr>
              <w:t>企业推行集体协商制度，与员工进行充分协商，就劳动报酬、工资调整、保险福利、女职工权益保护等事项签订内容具体、标准量化、操作性强的集体合同或专项集体合同，并结合企业实际情况进行全面履行。（</w:t>
            </w:r>
            <w:r>
              <w:rPr>
                <w:rFonts w:hint="eastAsia" w:eastAsia="仿宋_GB2312"/>
                <w:b w:val="0"/>
                <w:spacing w:val="-4"/>
                <w:sz w:val="20"/>
              </w:rPr>
              <w:t>2</w:t>
            </w:r>
            <w:r>
              <w:rPr>
                <w:rFonts w:eastAsia="仿宋_GB2312"/>
                <w:b w:val="0"/>
                <w:spacing w:val="-4"/>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jc w:val="both"/>
              <w:rPr>
                <w:sz w:val="18"/>
                <w:szCs w:val="18"/>
              </w:rPr>
            </w:pPr>
          </w:p>
        </w:tc>
        <w:tc>
          <w:tcPr>
            <w:tcW w:w="1371" w:type="dxa"/>
            <w:vMerge w:val="continue"/>
            <w:noWrap w:val="0"/>
            <w:vAlign w:val="center"/>
          </w:tcPr>
          <w:p>
            <w:pPr>
              <w:pStyle w:val="3"/>
              <w:adjustRightInd w:val="0"/>
              <w:snapToGrid w:val="0"/>
              <w:spacing w:line="240" w:lineRule="exact"/>
              <w:jc w:val="both"/>
              <w:rPr>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eastAsia="仿宋_GB2312"/>
                <w:b w:val="0"/>
                <w:sz w:val="20"/>
              </w:rPr>
              <w:t>集体合同草案提交职工</w:t>
            </w:r>
            <w:r>
              <w:rPr>
                <w:rFonts w:hint="eastAsia" w:eastAsia="仿宋_GB2312"/>
                <w:b w:val="0"/>
                <w:sz w:val="20"/>
              </w:rPr>
              <w:t>（</w:t>
            </w:r>
            <w:r>
              <w:rPr>
                <w:rFonts w:eastAsia="仿宋_GB2312"/>
                <w:b w:val="0"/>
                <w:sz w:val="20"/>
              </w:rPr>
              <w:t>代表</w:t>
            </w:r>
            <w:r>
              <w:rPr>
                <w:rFonts w:hint="eastAsia" w:eastAsia="仿宋_GB2312"/>
                <w:b w:val="0"/>
                <w:sz w:val="20"/>
              </w:rPr>
              <w:t>）</w:t>
            </w:r>
            <w:r>
              <w:rPr>
                <w:rFonts w:eastAsia="仿宋_GB2312"/>
                <w:b w:val="0"/>
                <w:sz w:val="20"/>
              </w:rPr>
              <w:t>大会讨论通过。企业订立集体合同后，按规定及时报劳动行政部门审查备案。（</w:t>
            </w:r>
            <w:r>
              <w:rPr>
                <w:rFonts w:hint="eastAsia" w:eastAsia="仿宋_GB2312"/>
                <w:b w:val="0"/>
                <w:sz w:val="20"/>
              </w:rPr>
              <w:t>2</w:t>
            </w:r>
            <w:r>
              <w:rPr>
                <w:rFonts w:eastAsia="仿宋_GB2312"/>
                <w:b w:val="0"/>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jc w:val="center"/>
              <w:rPr>
                <w:rFonts w:hint="eastAsia" w:eastAsia="仿宋_GB2312"/>
                <w:b w:val="0"/>
                <w:sz w:val="18"/>
                <w:szCs w:val="18"/>
              </w:rPr>
            </w:pPr>
          </w:p>
          <w:p>
            <w:pPr>
              <w:pStyle w:val="3"/>
              <w:adjustRightInd w:val="0"/>
              <w:snapToGrid w:val="0"/>
              <w:spacing w:line="240" w:lineRule="exact"/>
              <w:jc w:val="center"/>
              <w:rPr>
                <w:rFonts w:hint="eastAsia" w:eastAsia="仿宋_GB2312"/>
                <w:b w:val="0"/>
                <w:sz w:val="18"/>
                <w:szCs w:val="18"/>
              </w:rPr>
            </w:pPr>
          </w:p>
          <w:p>
            <w:pPr>
              <w:pStyle w:val="3"/>
              <w:adjustRightInd w:val="0"/>
              <w:snapToGrid w:val="0"/>
              <w:spacing w:line="240" w:lineRule="exact"/>
              <w:jc w:val="center"/>
              <w:rPr>
                <w:rFonts w:hint="eastAsia" w:eastAsia="仿宋_GB2312"/>
                <w:b w:val="0"/>
                <w:sz w:val="18"/>
                <w:szCs w:val="18"/>
              </w:rPr>
            </w:pPr>
          </w:p>
          <w:p>
            <w:pPr>
              <w:pStyle w:val="3"/>
              <w:adjustRightInd w:val="0"/>
              <w:snapToGrid w:val="0"/>
              <w:spacing w:line="240" w:lineRule="exact"/>
              <w:jc w:val="center"/>
              <w:rPr>
                <w:rFonts w:hint="eastAsia" w:eastAsia="仿宋_GB2312"/>
                <w:b w:val="0"/>
                <w:sz w:val="18"/>
                <w:szCs w:val="18"/>
              </w:rPr>
            </w:pPr>
          </w:p>
          <w:p>
            <w:pPr>
              <w:pStyle w:val="3"/>
              <w:adjustRightInd w:val="0"/>
              <w:snapToGrid w:val="0"/>
              <w:spacing w:line="240" w:lineRule="exact"/>
              <w:jc w:val="center"/>
              <w:rPr>
                <w:rFonts w:hint="eastAsia" w:eastAsia="仿宋_GB2312"/>
                <w:b w:val="0"/>
                <w:sz w:val="18"/>
                <w:szCs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-560070</wp:posOffset>
                      </wp:positionV>
                      <wp:extent cx="635" cy="635"/>
                      <wp:effectExtent l="0" t="0" r="0" b="0"/>
                      <wp:wrapNone/>
                      <wp:docPr id="2" name="墨迹 2"/>
                      <wp:cNvGraphicFramePr>
                        <a:graphicFrameLocks xmlns:a="http://schemas.openxmlformats.org/drawingml/2006/main" noGrp="1"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clr" r:id="rId5">
                                <w14:nvContentPartPr>
                                  <w14:cNvPr id="2" name="墨迹 2"/>
                                  <w14:cNvContentPartPr>
                                    <a14:cpLocks xmlns:a14="http://schemas.microsoft.com/office/drawing/2010/main" noGrp="1" noChangeAspect="1"/>
                                  </w14:cNvContentPartPr>
                                </w14:nvContentPartPr>
                                <w14:xfrm>
                                  <a:off x="451485" y="1616075"/>
                                  <a:ext cx="635" cy="635"/>
                                </w14:xfrm>
                              </w14:contentPart>
                            </mc:Choice>
                          </mc:AlternateContent>
                        </a:graphicData>
                      </a:graphic>
                    </wp:anchor>
                  </w:drawing>
                </mc:Choice>
                <mc:Fallback>
                  <w:pict>
                    <v:shape id="_x0000_s1026" o:spid="_x0000_s1026" o:spt="75" type="#_x0000_t75" style="position:absolute;left:0pt;margin-left:17.45pt;margin-top:-44.1pt;height:0.05pt;width:0.05pt;z-index:251659264;mso-width-relative:page;mso-height-relative:page;" filled="f" stroked="f" coordsize="21600,21600" o:gfxdata="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">
                      <v:path/>
                      <v:fill on="f" focussize="0,0"/>
                      <v:stroke on="f"/>
                      <v:imagedata r:id="rId6" o:title=""/>
                      <o:lock v:ext="edit" grouping="t" text="f" aspectratio="t"/>
                    </v:shape>
                  </w:pict>
                </mc:Fallback>
              </mc:AlternateContent>
            </w:r>
            <w:r>
              <w:rPr>
                <w:rFonts w:hint="eastAsia" w:eastAsia="仿宋_GB2312"/>
                <w:b w:val="0"/>
                <w:sz w:val="18"/>
                <w:szCs w:val="18"/>
              </w:rPr>
              <w:t>8</w:t>
            </w:r>
          </w:p>
        </w:tc>
        <w:tc>
          <w:tcPr>
            <w:tcW w:w="1371" w:type="dxa"/>
            <w:vMerge w:val="restart"/>
            <w:noWrap w:val="0"/>
            <w:vAlign w:val="center"/>
          </w:tcPr>
          <w:p>
            <w:pPr>
              <w:pStyle w:val="3"/>
              <w:adjustRightInd w:val="0"/>
              <w:snapToGrid w:val="0"/>
              <w:spacing w:line="240" w:lineRule="exact"/>
              <w:rPr>
                <w:rFonts w:hint="eastAsia" w:eastAsia="仿宋_GB2312"/>
                <w:b w:val="0"/>
                <w:sz w:val="18"/>
                <w:szCs w:val="18"/>
                <w:highlight w:val="none"/>
              </w:rPr>
            </w:pPr>
            <w:r>
              <w:rPr>
                <w:rFonts w:hint="eastAsia" w:eastAsia="仿宋_GB2312"/>
                <w:b w:val="0"/>
                <w:bCs w:val="0"/>
                <w:sz w:val="18"/>
                <w:szCs w:val="18"/>
                <w:highlight w:val="none"/>
              </w:rPr>
              <w:t>工会组织建设</w:t>
            </w:r>
          </w:p>
        </w:tc>
        <w:tc>
          <w:tcPr>
            <w:tcW w:w="1717" w:type="dxa"/>
            <w:vMerge w:val="restart"/>
            <w:noWrap w:val="0"/>
            <w:vAlign w:val="center"/>
          </w:tcPr>
          <w:p>
            <w:pPr>
              <w:pStyle w:val="3"/>
              <w:adjustRightInd w:val="0"/>
              <w:snapToGrid w:val="0"/>
              <w:spacing w:line="240" w:lineRule="exact"/>
              <w:ind w:left="-83" w:leftChars="-45" w:right="-73" w:rightChars="-35" w:hanging="11" w:hangingChars="6"/>
              <w:jc w:val="both"/>
              <w:rPr>
                <w:rFonts w:hint="eastAsia" w:ascii="楷体_GB2312" w:hAnsi="楷体_GB2312" w:eastAsia="楷体_GB2312" w:cs="楷体_GB2312"/>
                <w:b w:val="0"/>
                <w:spacing w:val="-4"/>
                <w:sz w:val="20"/>
                <w:highlight w:val="none"/>
              </w:rPr>
            </w:pPr>
            <w:r>
              <w:rPr>
                <w:rFonts w:hint="eastAsia" w:ascii="楷体_GB2312" w:hAnsi="楷体_GB2312" w:eastAsia="楷体_GB2312" w:cs="楷体_GB2312"/>
                <w:b w:val="0"/>
                <w:spacing w:val="-4"/>
                <w:sz w:val="20"/>
                <w:highlight w:val="none"/>
              </w:rPr>
              <w:t>依法建立工会组织、劳动争议调解组织，并发挥作用。（1</w:t>
            </w:r>
            <w:r>
              <w:rPr>
                <w:rFonts w:hint="eastAsia" w:ascii="楷体_GB2312" w:hAnsi="楷体_GB2312" w:eastAsia="楷体_GB2312" w:cs="楷体_GB2312"/>
                <w:b w:val="0"/>
                <w:spacing w:val="-4"/>
                <w:sz w:val="20"/>
                <w:highlight w:val="none"/>
                <w:lang w:val="en-US" w:eastAsia="zh-CN"/>
              </w:rPr>
              <w:t>2</w:t>
            </w:r>
            <w:r>
              <w:rPr>
                <w:rFonts w:hint="eastAsia" w:ascii="楷体_GB2312" w:hAnsi="楷体_GB2312" w:eastAsia="楷体_GB2312" w:cs="楷体_GB2312"/>
                <w:b w:val="0"/>
                <w:spacing w:val="-4"/>
                <w:sz w:val="20"/>
                <w:highlight w:val="none"/>
              </w:rPr>
              <w:t>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color w:val="auto"/>
                <w:sz w:val="20"/>
                <w:highlight w:val="none"/>
              </w:rPr>
            </w:pPr>
            <w:r>
              <w:rPr>
                <w:rFonts w:hint="eastAsia" w:ascii="仿宋_GB2312" w:hAnsi="仿宋_GB2312" w:eastAsia="仿宋_GB2312" w:cs="仿宋_GB2312"/>
                <w:b w:val="0"/>
                <w:color w:val="auto"/>
                <w:sz w:val="20"/>
                <w:highlight w:val="none"/>
              </w:rPr>
              <w:t>企业遵守《工会法》规定，在工会组织管理系统上注册成立工会，职工实名录入系统的入会率达</w:t>
            </w:r>
            <w:r>
              <w:rPr>
                <w:rFonts w:hint="eastAsia" w:ascii="仿宋_GB2312" w:hAnsi="仿宋_GB2312" w:eastAsia="仿宋_GB2312" w:cs="仿宋_GB2312"/>
                <w:b w:val="0"/>
                <w:color w:val="auto"/>
                <w:sz w:val="20"/>
                <w:highlight w:val="none"/>
                <w:lang w:val="en-US" w:eastAsia="zh-CN"/>
              </w:rPr>
              <w:t>8</w:t>
            </w:r>
            <w:r>
              <w:rPr>
                <w:rFonts w:hint="eastAsia" w:ascii="仿宋_GB2312" w:hAnsi="仿宋_GB2312" w:eastAsia="仿宋_GB2312" w:cs="仿宋_GB2312"/>
                <w:b w:val="0"/>
                <w:color w:val="auto"/>
                <w:sz w:val="20"/>
                <w:highlight w:val="none"/>
              </w:rPr>
              <w:t>0%以上，工会组织完善，有成立批复、有工会章、</w:t>
            </w:r>
            <w:r>
              <w:rPr>
                <w:rFonts w:hint="eastAsia" w:ascii="仿宋_GB2312" w:hAnsi="仿宋_GB2312" w:eastAsia="仿宋_GB2312" w:cs="仿宋_GB2312"/>
                <w:b w:val="0"/>
                <w:color w:val="auto"/>
                <w:sz w:val="20"/>
                <w:highlight w:val="none"/>
                <w:lang w:eastAsia="zh-CN"/>
              </w:rPr>
              <w:t>工会主席</w:t>
            </w:r>
            <w:r>
              <w:rPr>
                <w:rFonts w:hint="eastAsia" w:ascii="仿宋_GB2312" w:hAnsi="仿宋_GB2312" w:eastAsia="仿宋_GB2312" w:cs="仿宋_GB2312"/>
                <w:b w:val="0"/>
                <w:color w:val="auto"/>
                <w:sz w:val="20"/>
                <w:highlight w:val="none"/>
              </w:rPr>
              <w:t>及工会经费账户</w:t>
            </w:r>
            <w:r>
              <w:rPr>
                <w:rFonts w:hint="eastAsia" w:ascii="仿宋_GB2312" w:hAnsi="仿宋_GB2312" w:eastAsia="仿宋_GB2312" w:cs="仿宋_GB2312"/>
                <w:b w:val="0"/>
                <w:color w:val="auto"/>
                <w:sz w:val="20"/>
                <w:highlight w:val="none"/>
                <w:lang w:eastAsia="zh-CN"/>
              </w:rPr>
              <w:t>，有办公场所</w:t>
            </w:r>
            <w:r>
              <w:rPr>
                <w:rFonts w:hint="eastAsia" w:ascii="仿宋_GB2312" w:hAnsi="仿宋_GB2312" w:eastAsia="仿宋_GB2312" w:cs="仿宋_GB2312"/>
                <w:b w:val="0"/>
                <w:color w:val="auto"/>
                <w:sz w:val="20"/>
                <w:highlight w:val="none"/>
              </w:rPr>
              <w:t>。（</w:t>
            </w:r>
            <w:r>
              <w:rPr>
                <w:rFonts w:hint="eastAsia" w:ascii="仿宋_GB2312" w:hAnsi="仿宋_GB2312" w:eastAsia="仿宋_GB2312" w:cs="仿宋_GB2312"/>
                <w:b w:val="0"/>
                <w:color w:val="auto"/>
                <w:sz w:val="20"/>
                <w:highlight w:val="none"/>
                <w:lang w:val="en-US" w:eastAsia="zh-CN"/>
              </w:rPr>
              <w:t>3</w:t>
            </w:r>
            <w:r>
              <w:rPr>
                <w:rFonts w:hint="eastAsia" w:ascii="仿宋_GB2312" w:hAnsi="仿宋_GB2312" w:eastAsia="仿宋_GB2312" w:cs="仿宋_GB2312"/>
                <w:b w:val="0"/>
                <w:color w:val="auto"/>
                <w:sz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jc w:val="center"/>
              <w:rPr>
                <w:sz w:val="18"/>
              </w:rPr>
            </w:pPr>
          </w:p>
        </w:tc>
        <w:tc>
          <w:tcPr>
            <w:tcW w:w="1371" w:type="dxa"/>
            <w:vMerge w:val="continue"/>
            <w:noWrap w:val="0"/>
            <w:vAlign w:val="center"/>
          </w:tcPr>
          <w:p>
            <w:pPr>
              <w:pStyle w:val="3"/>
              <w:adjustRightInd w:val="0"/>
              <w:snapToGrid w:val="0"/>
              <w:spacing w:line="240" w:lineRule="exact"/>
              <w:rPr>
                <w:rFonts w:hint="eastAsia" w:eastAsia="仿宋_GB2312"/>
                <w:b w:val="0"/>
                <w:bCs w:val="0"/>
                <w:sz w:val="18"/>
                <w:szCs w:val="18"/>
                <w:highlight w:val="none"/>
              </w:rPr>
            </w:pPr>
          </w:p>
        </w:tc>
        <w:tc>
          <w:tcPr>
            <w:tcW w:w="1717" w:type="dxa"/>
            <w:vMerge w:val="continue"/>
            <w:noWrap w:val="0"/>
            <w:vAlign w:val="center"/>
          </w:tcPr>
          <w:p>
            <w:pPr>
              <w:pStyle w:val="3"/>
              <w:adjustRightInd w:val="0"/>
              <w:snapToGrid w:val="0"/>
              <w:spacing w:line="240" w:lineRule="exact"/>
              <w:ind w:left="-83" w:leftChars="-45" w:right="-73" w:rightChars="-35" w:hanging="11" w:hangingChars="6"/>
              <w:jc w:val="both"/>
              <w:rPr>
                <w:rFonts w:hint="eastAsia" w:ascii="楷体_GB2312" w:hAnsi="楷体_GB2312" w:eastAsia="楷体_GB2312" w:cs="楷体_GB2312"/>
                <w:b w:val="0"/>
                <w:spacing w:val="-4"/>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color w:val="auto"/>
                <w:sz w:val="20"/>
                <w:highlight w:val="none"/>
                <w:lang w:eastAsia="zh-CN"/>
              </w:rPr>
            </w:pPr>
            <w:r>
              <w:rPr>
                <w:rFonts w:hint="eastAsia" w:ascii="仿宋_GB2312" w:hAnsi="仿宋_GB2312" w:eastAsia="仿宋_GB2312" w:cs="仿宋_GB2312"/>
                <w:b w:val="0"/>
                <w:color w:val="auto"/>
                <w:sz w:val="20"/>
                <w:highlight w:val="none"/>
                <w:lang w:eastAsia="zh-CN"/>
              </w:rPr>
              <w:t>企业工会为员工建立心灵辅导室、爱心妈妈小屋、职工之家、职工书屋、文体活动室等服务阵地。（</w:t>
            </w:r>
            <w:r>
              <w:rPr>
                <w:rFonts w:hint="eastAsia" w:ascii="仿宋_GB2312" w:hAnsi="仿宋_GB2312" w:eastAsia="仿宋_GB2312" w:cs="仿宋_GB2312"/>
                <w:b w:val="0"/>
                <w:color w:val="auto"/>
                <w:sz w:val="20"/>
                <w:highlight w:val="none"/>
                <w:lang w:val="en-US" w:eastAsia="zh-CN"/>
              </w:rPr>
              <w:t>2分</w:t>
            </w:r>
            <w:r>
              <w:rPr>
                <w:rFonts w:hint="eastAsia" w:ascii="仿宋_GB2312" w:hAnsi="仿宋_GB2312" w:eastAsia="仿宋_GB2312" w:cs="仿宋_GB2312"/>
                <w:b w:val="0"/>
                <w:color w:val="auto"/>
                <w:sz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sz w:val="18"/>
                <w:szCs w:val="18"/>
              </w:rPr>
            </w:pPr>
          </w:p>
        </w:tc>
        <w:tc>
          <w:tcPr>
            <w:tcW w:w="1371" w:type="dxa"/>
            <w:vMerge w:val="continue"/>
            <w:noWrap w:val="0"/>
            <w:vAlign w:val="center"/>
          </w:tcPr>
          <w:p>
            <w:pPr>
              <w:pStyle w:val="3"/>
              <w:adjustRightInd w:val="0"/>
              <w:snapToGrid w:val="0"/>
              <w:spacing w:line="240" w:lineRule="exact"/>
              <w:rPr>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color w:val="auto"/>
                <w:sz w:val="20"/>
                <w:highlight w:val="none"/>
              </w:rPr>
            </w:pPr>
            <w:r>
              <w:rPr>
                <w:rFonts w:hint="eastAsia" w:ascii="仿宋_GB2312" w:hAnsi="仿宋_GB2312" w:eastAsia="仿宋_GB2312" w:cs="仿宋_GB2312"/>
                <w:b w:val="0"/>
                <w:color w:val="auto"/>
                <w:sz w:val="20"/>
                <w:highlight w:val="none"/>
              </w:rPr>
              <w:t>遵守《工会法》的规定，依法向税务机关申报缴纳工会经费。（1分）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7" w:type="dxa"/>
            <w:vMerge w:val="continue"/>
            <w:noWrap w:val="0"/>
            <w:vAlign w:val="center"/>
          </w:tcPr>
          <w:p>
            <w:pPr>
              <w:pStyle w:val="3"/>
              <w:adjustRightInd w:val="0"/>
              <w:snapToGrid w:val="0"/>
              <w:spacing w:line="240" w:lineRule="exact"/>
              <w:rPr>
                <w:sz w:val="18"/>
                <w:szCs w:val="18"/>
              </w:rPr>
            </w:pPr>
          </w:p>
        </w:tc>
        <w:tc>
          <w:tcPr>
            <w:tcW w:w="1371" w:type="dxa"/>
            <w:vMerge w:val="continue"/>
            <w:noWrap w:val="0"/>
            <w:vAlign w:val="center"/>
          </w:tcPr>
          <w:p>
            <w:pPr>
              <w:pStyle w:val="3"/>
              <w:adjustRightInd w:val="0"/>
              <w:snapToGrid w:val="0"/>
              <w:spacing w:line="240" w:lineRule="exact"/>
              <w:rPr>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color w:val="auto"/>
                <w:sz w:val="20"/>
                <w:highlight w:val="none"/>
              </w:rPr>
            </w:pPr>
            <w:r>
              <w:rPr>
                <w:rFonts w:hint="eastAsia" w:ascii="仿宋_GB2312" w:hAnsi="仿宋_GB2312" w:eastAsia="仿宋_GB2312" w:cs="仿宋_GB2312"/>
                <w:b w:val="0"/>
                <w:color w:val="auto"/>
                <w:sz w:val="20"/>
                <w:highlight w:val="none"/>
              </w:rPr>
              <w:t>工会积极开展劳动竞赛及其他有益职工身心健康等各项活动、工作，企业对工会组织的各项活动、工作从经费、时间、场地等方面给予保证和支持。（1分）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ascii="仿宋_GB2312" w:hAnsi="仿宋_GB2312" w:eastAsia="仿宋_GB2312" w:cs="仿宋_GB2312"/>
                <w:b w:val="0"/>
                <w:sz w:val="20"/>
                <w:highlight w:val="none"/>
              </w:rPr>
            </w:pPr>
            <w:r>
              <w:rPr>
                <w:rFonts w:hint="eastAsia" w:ascii="仿宋_GB2312" w:hAnsi="仿宋_GB2312" w:eastAsia="仿宋_GB2312" w:cs="仿宋_GB2312"/>
                <w:b w:val="0"/>
                <w:sz w:val="20"/>
                <w:highlight w:val="none"/>
              </w:rPr>
              <w:t>企业在当年度有参加清远高新区省级劳动关系协调员培训基地组织的相关培训。（</w:t>
            </w:r>
            <w:r>
              <w:rPr>
                <w:rFonts w:hint="eastAsia" w:ascii="仿宋_GB2312" w:hAnsi="仿宋_GB2312" w:eastAsia="仿宋_GB2312" w:cs="仿宋_GB2312"/>
                <w:b w:val="0"/>
                <w:sz w:val="20"/>
                <w:highlight w:val="none"/>
                <w:lang w:val="en-US" w:eastAsia="zh-CN"/>
              </w:rPr>
              <w:t>2</w:t>
            </w:r>
            <w:r>
              <w:rPr>
                <w:rFonts w:hint="eastAsia" w:ascii="仿宋_GB2312" w:hAnsi="仿宋_GB2312" w:eastAsia="仿宋_GB2312" w:cs="仿宋_GB2312"/>
                <w:b w:val="0"/>
                <w:sz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highlight w:val="none"/>
              </w:rPr>
            </w:pPr>
            <w:r>
              <w:rPr>
                <w:rFonts w:hint="eastAsia" w:ascii="仿宋_GB2312" w:hAnsi="仿宋_GB2312" w:eastAsia="仿宋_GB2312" w:cs="仿宋_GB2312"/>
                <w:b w:val="0"/>
                <w:sz w:val="20"/>
                <w:highlight w:val="none"/>
              </w:rPr>
              <w:t>企业依法建立健全劳动争议调解组织，配备至少1名具备国家职业资格证书的劳动关系协调员，并建立了完善的劳动关系风险防范机制、预警机制，能够及时化解劳资矛盾。（3分）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hint="eastAsia" w:eastAsia="仿宋_GB2312"/>
                <w:b w:val="0"/>
                <w:sz w:val="18"/>
                <w:szCs w:val="18"/>
              </w:rPr>
            </w:pPr>
            <w:r>
              <w:rPr>
                <w:rFonts w:hint="eastAsia" w:eastAsia="仿宋_GB2312"/>
                <w:b w:val="0"/>
                <w:sz w:val="18"/>
                <w:szCs w:val="18"/>
              </w:rPr>
              <w:t>9</w:t>
            </w:r>
          </w:p>
        </w:tc>
        <w:tc>
          <w:tcPr>
            <w:tcW w:w="1371" w:type="dxa"/>
            <w:vMerge w:val="restart"/>
            <w:noWrap w:val="0"/>
            <w:vAlign w:val="center"/>
          </w:tcPr>
          <w:p>
            <w:pPr>
              <w:pStyle w:val="3"/>
              <w:adjustRightInd w:val="0"/>
              <w:snapToGrid w:val="0"/>
              <w:spacing w:line="240" w:lineRule="exact"/>
              <w:rPr>
                <w:rFonts w:hint="eastAsia" w:eastAsia="仿宋_GB2312"/>
                <w:b w:val="0"/>
                <w:sz w:val="18"/>
                <w:szCs w:val="18"/>
              </w:rPr>
            </w:pPr>
            <w:r>
              <w:rPr>
                <w:rFonts w:hint="eastAsia" w:eastAsia="仿宋_GB2312"/>
                <w:b w:val="0"/>
                <w:sz w:val="18"/>
                <w:szCs w:val="18"/>
              </w:rPr>
              <w:t>民主管理制度</w:t>
            </w:r>
          </w:p>
        </w:tc>
        <w:tc>
          <w:tcPr>
            <w:tcW w:w="1717" w:type="dxa"/>
            <w:vMerge w:val="restart"/>
            <w:noWrap w:val="0"/>
            <w:vAlign w:val="center"/>
          </w:tcPr>
          <w:p>
            <w:pPr>
              <w:pStyle w:val="3"/>
              <w:adjustRightInd w:val="0"/>
              <w:snapToGrid w:val="0"/>
              <w:spacing w:line="240" w:lineRule="exact"/>
              <w:ind w:right="-73" w:rightChars="-35"/>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依法建立企业规章制度，建立健全以职工（代表）大会为基本形式的民主管理制度。（5分）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企业依法制定规章制度，规章制度内容包括：劳动报酬、工作时间、休息休假、女职工保护、劳动安全卫生、保险福利、职工培训、劳动纪律以及劳动定额管理等其他劳动管理规定。（1分）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企业建立健全以职工（代表）大会为基本形式的民主管理制度，每年至少召开一次职工（代表）大会，定期实行厂务公开。公司制企业依法设立职工董事、职工监事。（2）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w:t>
            </w:r>
            <w:r>
              <w:rPr>
                <w:rFonts w:eastAsia="仿宋_GB2312"/>
                <w:b w:val="0"/>
                <w:sz w:val="20"/>
              </w:rPr>
              <w:t>在制定、修改或者决定直接涉及劳动者切身利益的规章制度或者重大事项时，应当经职工</w:t>
            </w:r>
            <w:r>
              <w:rPr>
                <w:rFonts w:hint="eastAsia" w:eastAsia="仿宋_GB2312"/>
                <w:b w:val="0"/>
                <w:sz w:val="20"/>
              </w:rPr>
              <w:t>（</w:t>
            </w:r>
            <w:r>
              <w:rPr>
                <w:rFonts w:eastAsia="仿宋_GB2312"/>
                <w:b w:val="0"/>
                <w:sz w:val="20"/>
              </w:rPr>
              <w:t>代表</w:t>
            </w:r>
            <w:r>
              <w:rPr>
                <w:rFonts w:hint="eastAsia" w:eastAsia="仿宋_GB2312"/>
                <w:b w:val="0"/>
                <w:sz w:val="20"/>
              </w:rPr>
              <w:t>）</w:t>
            </w:r>
            <w:r>
              <w:rPr>
                <w:rFonts w:eastAsia="仿宋_GB2312"/>
                <w:b w:val="0"/>
                <w:sz w:val="20"/>
              </w:rPr>
              <w:t>大会讨论，提出方案和意见，与工会或者职工代表平等协商确定。</w:t>
            </w:r>
            <w:r>
              <w:rPr>
                <w:rFonts w:hint="eastAsia" w:ascii="仿宋_GB2312" w:hAnsi="仿宋_GB2312" w:eastAsia="仿宋_GB2312" w:cs="仿宋_GB2312"/>
                <w:b w:val="0"/>
                <w:sz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jc w:val="center"/>
              <w:rPr>
                <w:rFonts w:eastAsia="仿宋_GB2312"/>
                <w:b w:val="0"/>
                <w:sz w:val="18"/>
                <w:szCs w:val="18"/>
              </w:rPr>
            </w:pPr>
            <w:r>
              <w:rPr>
                <w:rFonts w:hint="eastAsia" w:eastAsia="仿宋_GB2312"/>
                <w:b w:val="0"/>
                <w:sz w:val="18"/>
                <w:szCs w:val="18"/>
              </w:rPr>
              <w:t>10</w:t>
            </w:r>
          </w:p>
        </w:tc>
        <w:tc>
          <w:tcPr>
            <w:tcW w:w="1371" w:type="dxa"/>
            <w:vMerge w:val="continue"/>
            <w:noWrap w:val="0"/>
            <w:vAlign w:val="center"/>
          </w:tcPr>
          <w:p>
            <w:pPr>
              <w:pStyle w:val="3"/>
              <w:adjustRightInd w:val="0"/>
              <w:snapToGrid w:val="0"/>
              <w:spacing w:line="240" w:lineRule="exact"/>
              <w:ind w:firstLine="180" w:firstLineChars="100"/>
              <w:jc w:val="both"/>
              <w:rPr>
                <w:rFonts w:hint="eastAsia" w:eastAsia="仿宋_GB2312"/>
                <w:b w:val="0"/>
                <w:sz w:val="18"/>
                <w:szCs w:val="18"/>
              </w:rPr>
            </w:pPr>
          </w:p>
        </w:tc>
        <w:tc>
          <w:tcPr>
            <w:tcW w:w="1717" w:type="dxa"/>
            <w:vMerge w:val="restart"/>
            <w:noWrap w:val="0"/>
            <w:vAlign w:val="center"/>
          </w:tcPr>
          <w:p>
            <w:pPr>
              <w:pStyle w:val="3"/>
              <w:adjustRightInd w:val="0"/>
              <w:snapToGrid w:val="0"/>
              <w:spacing w:line="240" w:lineRule="exact"/>
              <w:ind w:left="-67" w:leftChars="-32" w:right="-115" w:rightChars="-55"/>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贯彻落实劳动保障政策规定（4分）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积极推进职业资格证书制度，大力开展企业员工职业技能培训工作，年员工培训率在10%以上。（</w:t>
            </w:r>
            <w:r>
              <w:rPr>
                <w:rFonts w:hint="eastAsia" w:ascii="仿宋_GB2312" w:hAnsi="仿宋_GB2312" w:eastAsia="仿宋_GB2312" w:cs="仿宋_GB2312"/>
                <w:b w:val="0"/>
                <w:sz w:val="20"/>
                <w:lang w:val="en-US" w:eastAsia="zh-CN"/>
              </w:rPr>
              <w:t>1</w:t>
            </w:r>
            <w:r>
              <w:rPr>
                <w:rFonts w:hint="eastAsia" w:ascii="仿宋_GB2312" w:hAnsi="仿宋_GB2312" w:eastAsia="仿宋_GB2312" w:cs="仿宋_GB2312"/>
                <w:b w:val="0"/>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jc w:val="center"/>
              <w:rPr>
                <w:rFonts w:hint="eastAsia" w:eastAsia="仿宋_GB2312"/>
                <w:b w:val="0"/>
                <w:sz w:val="18"/>
                <w:szCs w:val="18"/>
              </w:rPr>
            </w:pPr>
          </w:p>
        </w:tc>
        <w:tc>
          <w:tcPr>
            <w:tcW w:w="1371" w:type="dxa"/>
            <w:vMerge w:val="continue"/>
            <w:noWrap w:val="0"/>
            <w:vAlign w:val="center"/>
          </w:tcPr>
          <w:p>
            <w:pPr>
              <w:pStyle w:val="3"/>
              <w:adjustRightInd w:val="0"/>
              <w:snapToGrid w:val="0"/>
              <w:spacing w:line="240" w:lineRule="exact"/>
              <w:ind w:firstLine="180" w:firstLineChars="100"/>
              <w:jc w:val="both"/>
              <w:rPr>
                <w:rFonts w:hint="eastAsia" w:eastAsia="仿宋_GB2312"/>
                <w:b w:val="0"/>
                <w:sz w:val="18"/>
                <w:szCs w:val="18"/>
              </w:rPr>
            </w:pPr>
          </w:p>
        </w:tc>
        <w:tc>
          <w:tcPr>
            <w:tcW w:w="1717" w:type="dxa"/>
            <w:vMerge w:val="continue"/>
            <w:noWrap w:val="0"/>
            <w:vAlign w:val="center"/>
          </w:tcPr>
          <w:p>
            <w:pPr>
              <w:pStyle w:val="3"/>
              <w:adjustRightInd w:val="0"/>
              <w:snapToGrid w:val="0"/>
              <w:spacing w:line="240" w:lineRule="exact"/>
              <w:ind w:left="-67" w:leftChars="-32" w:right="-115" w:rightChars="-55"/>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职工教育经费足额到位，经费60%以上用于企业一线职工的教育和培训。（</w:t>
            </w:r>
            <w:r>
              <w:rPr>
                <w:rFonts w:hint="eastAsia" w:ascii="仿宋_GB2312" w:hAnsi="仿宋_GB2312" w:eastAsia="仿宋_GB2312" w:cs="仿宋_GB2312"/>
                <w:b w:val="0"/>
                <w:sz w:val="20"/>
                <w:lang w:val="en-US" w:eastAsia="zh-CN"/>
              </w:rPr>
              <w:t>1</w:t>
            </w:r>
            <w:r>
              <w:rPr>
                <w:rFonts w:hint="eastAsia" w:ascii="仿宋_GB2312" w:hAnsi="仿宋_GB2312" w:eastAsia="仿宋_GB2312" w:cs="仿宋_GB2312"/>
                <w:b w:val="0"/>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企业安置残疾人就业比例达到国家规定的要求或按照政府规定依法缴纳残疾人就业保障金。（2分）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hint="eastAsia" w:eastAsia="仿宋_GB2312"/>
                <w:b w:val="0"/>
                <w:sz w:val="18"/>
                <w:szCs w:val="18"/>
              </w:rPr>
            </w:pPr>
            <w:r>
              <w:rPr>
                <w:rFonts w:eastAsia="仿宋_GB2312"/>
                <w:b w:val="0"/>
                <w:sz w:val="18"/>
                <w:szCs w:val="18"/>
              </w:rPr>
              <w:t>1</w:t>
            </w:r>
            <w:r>
              <w:rPr>
                <w:rFonts w:hint="eastAsia" w:eastAsia="仿宋_GB2312"/>
                <w:b w:val="0"/>
                <w:sz w:val="18"/>
                <w:szCs w:val="18"/>
              </w:rPr>
              <w:t>1</w:t>
            </w:r>
          </w:p>
        </w:tc>
        <w:tc>
          <w:tcPr>
            <w:tcW w:w="1371" w:type="dxa"/>
            <w:vMerge w:val="restart"/>
            <w:noWrap w:val="0"/>
            <w:vAlign w:val="center"/>
          </w:tcPr>
          <w:p>
            <w:pPr>
              <w:pStyle w:val="3"/>
              <w:adjustRightInd w:val="0"/>
              <w:snapToGrid w:val="0"/>
              <w:spacing w:line="240" w:lineRule="exact"/>
              <w:rPr>
                <w:rFonts w:hint="eastAsia" w:eastAsia="仿宋_GB2312"/>
                <w:b w:val="0"/>
                <w:sz w:val="18"/>
                <w:szCs w:val="18"/>
              </w:rPr>
            </w:pPr>
            <w:r>
              <w:rPr>
                <w:rFonts w:hint="eastAsia" w:eastAsia="仿宋_GB2312"/>
                <w:b w:val="0"/>
                <w:sz w:val="18"/>
                <w:szCs w:val="18"/>
              </w:rPr>
              <w:t>党组织建设</w:t>
            </w:r>
          </w:p>
        </w:tc>
        <w:tc>
          <w:tcPr>
            <w:tcW w:w="1717" w:type="dxa"/>
            <w:vMerge w:val="restart"/>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企业文化坚持党建引领，有鲜明特色，推动劳动关系健康和谐。（9分）</w:t>
            </w:r>
          </w:p>
        </w:tc>
        <w:tc>
          <w:tcPr>
            <w:tcW w:w="12615" w:type="dxa"/>
            <w:noWrap w:val="0"/>
            <w:vAlign w:val="center"/>
          </w:tcPr>
          <w:p>
            <w:pPr>
              <w:pStyle w:val="3"/>
              <w:adjustRightInd w:val="0"/>
              <w:snapToGrid w:val="0"/>
              <w:spacing w:line="240" w:lineRule="exact"/>
              <w:jc w:val="both"/>
              <w:rPr>
                <w:rFonts w:ascii="仿宋_GB2312" w:hAnsi="仿宋_GB2312" w:eastAsia="仿宋_GB2312" w:cs="仿宋_GB2312"/>
                <w:b w:val="0"/>
                <w:sz w:val="20"/>
              </w:rPr>
            </w:pPr>
            <w:r>
              <w:rPr>
                <w:rFonts w:hint="eastAsia" w:ascii="仿宋_GB2312" w:hAnsi="仿宋_GB2312" w:eastAsia="仿宋_GB2312" w:cs="仿宋_GB2312"/>
                <w:b w:val="0"/>
                <w:sz w:val="20"/>
              </w:rPr>
              <w:t>企业党组织把构建和谐劳动关系纳入党建重要内容，有关制度能够体现对构建和谐劳动关系的重视，有党务工作者负责“党建+和谐劳动关系”方面工作。（3）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ascii="仿宋_GB2312" w:hAnsi="仿宋_GB2312" w:eastAsia="仿宋_GB2312" w:cs="仿宋_GB2312"/>
                <w:b w:val="0"/>
                <w:sz w:val="20"/>
              </w:rPr>
            </w:pPr>
            <w:r>
              <w:rPr>
                <w:rFonts w:hint="eastAsia" w:ascii="仿宋_GB2312" w:hAnsi="仿宋_GB2312" w:eastAsia="仿宋_GB2312" w:cs="仿宋_GB2312"/>
                <w:b w:val="0"/>
                <w:sz w:val="20"/>
              </w:rPr>
              <w:t>企业多种形式开展能够促进“党建+和谐劳动关系”、彰显自身特色的文化宣传、团体活动等，企业和员工有共同的关于企业发展的基本信念、职业道德、核心价值观等。（3分）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sz w:val="20"/>
              </w:rPr>
            </w:pPr>
            <w:r>
              <w:rPr>
                <w:rFonts w:hint="eastAsia" w:ascii="仿宋_GB2312" w:hAnsi="仿宋_GB2312" w:eastAsia="仿宋_GB2312" w:cs="仿宋_GB2312"/>
                <w:b w:val="0"/>
                <w:sz w:val="20"/>
              </w:rPr>
              <w:t>“党建+和谐劳动关系”有关工作活动得到清远高新区官方微信公众号、视频号、微博、网站和《凤起高新》杂志等平台宣传报道。（3分）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jc w:val="center"/>
              <w:rPr>
                <w:rFonts w:hint="eastAsia" w:eastAsia="仿宋_GB2312"/>
                <w:b w:val="0"/>
                <w:sz w:val="18"/>
                <w:szCs w:val="18"/>
              </w:rPr>
            </w:pPr>
            <w:r>
              <w:rPr>
                <w:rFonts w:hint="eastAsia" w:eastAsia="仿宋_GB2312"/>
                <w:b w:val="0"/>
                <w:sz w:val="18"/>
                <w:szCs w:val="18"/>
              </w:rPr>
              <w:t>12</w:t>
            </w:r>
          </w:p>
          <w:p>
            <w:pPr>
              <w:pStyle w:val="3"/>
              <w:adjustRightInd w:val="0"/>
              <w:snapToGrid w:val="0"/>
              <w:spacing w:line="240" w:lineRule="exact"/>
              <w:rPr>
                <w:rFonts w:eastAsia="仿宋_GB2312"/>
                <w:b w:val="0"/>
                <w:bCs w:val="0"/>
                <w:sz w:val="18"/>
                <w:szCs w:val="18"/>
              </w:rPr>
            </w:pPr>
          </w:p>
        </w:tc>
        <w:tc>
          <w:tcPr>
            <w:tcW w:w="1371" w:type="dxa"/>
            <w:vMerge w:val="restart"/>
            <w:noWrap w:val="0"/>
            <w:vAlign w:val="center"/>
          </w:tcPr>
          <w:p>
            <w:pPr>
              <w:pStyle w:val="3"/>
              <w:adjustRightInd w:val="0"/>
              <w:snapToGrid w:val="0"/>
              <w:spacing w:line="240" w:lineRule="exact"/>
              <w:rPr>
                <w:rFonts w:eastAsia="仿宋_GB2312"/>
                <w:b w:val="0"/>
                <w:bCs w:val="0"/>
                <w:sz w:val="18"/>
                <w:szCs w:val="18"/>
                <w:highlight w:val="none"/>
              </w:rPr>
            </w:pPr>
            <w:r>
              <w:rPr>
                <w:rFonts w:hint="eastAsia" w:eastAsia="仿宋_GB2312"/>
                <w:b w:val="0"/>
                <w:bCs w:val="0"/>
                <w:sz w:val="18"/>
                <w:szCs w:val="18"/>
                <w:highlight w:val="none"/>
              </w:rPr>
              <w:t>人文关怀建设</w:t>
            </w:r>
          </w:p>
        </w:tc>
        <w:tc>
          <w:tcPr>
            <w:tcW w:w="1717" w:type="dxa"/>
            <w:vMerge w:val="restart"/>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r>
              <w:rPr>
                <w:rFonts w:hint="eastAsia" w:ascii="楷体_GB2312" w:hAnsi="楷体_GB2312" w:eastAsia="楷体_GB2312" w:cs="楷体_GB2312"/>
                <w:b w:val="0"/>
                <w:sz w:val="20"/>
                <w:highlight w:val="none"/>
              </w:rPr>
              <w:t>企业关怀员工，为员工提供良好的生活、工作、福利保障，重视对员工的激励和培养。（</w:t>
            </w:r>
            <w:r>
              <w:rPr>
                <w:rFonts w:hint="eastAsia" w:ascii="楷体_GB2312" w:hAnsi="楷体_GB2312" w:eastAsia="楷体_GB2312" w:cs="楷体_GB2312"/>
                <w:b w:val="0"/>
                <w:sz w:val="20"/>
                <w:highlight w:val="none"/>
                <w:lang w:val="en-US" w:eastAsia="zh-CN"/>
              </w:rPr>
              <w:t>9</w:t>
            </w:r>
            <w:r>
              <w:rPr>
                <w:rFonts w:hint="eastAsia" w:ascii="楷体_GB2312" w:hAnsi="楷体_GB2312" w:eastAsia="楷体_GB2312" w:cs="楷体_GB2312"/>
                <w:b w:val="0"/>
                <w:sz w:val="20"/>
                <w:highlight w:val="none"/>
              </w:rPr>
              <w:t>分）</w:t>
            </w:r>
          </w:p>
        </w:tc>
        <w:tc>
          <w:tcPr>
            <w:tcW w:w="12615" w:type="dxa"/>
            <w:noWrap w:val="0"/>
            <w:vAlign w:val="center"/>
          </w:tcPr>
          <w:p>
            <w:pPr>
              <w:pStyle w:val="3"/>
              <w:adjustRightInd w:val="0"/>
              <w:snapToGrid w:val="0"/>
              <w:spacing w:line="240" w:lineRule="exact"/>
              <w:jc w:val="both"/>
              <w:rPr>
                <w:rFonts w:hint="default" w:ascii="仿宋_GB2312" w:hAnsi="仿宋_GB2312" w:eastAsia="仿宋_GB2312" w:cs="仿宋_GB2312"/>
                <w:b w:val="0"/>
                <w:sz w:val="20"/>
                <w:highlight w:val="none"/>
                <w:lang w:val="en-US" w:eastAsia="zh-CN"/>
              </w:rPr>
            </w:pPr>
            <w:r>
              <w:rPr>
                <w:rFonts w:hint="eastAsia" w:ascii="仿宋_GB2312" w:hAnsi="仿宋_GB2312" w:eastAsia="仿宋_GB2312" w:cs="仿宋_GB2312"/>
                <w:b w:val="0"/>
                <w:sz w:val="20"/>
                <w:highlight w:val="none"/>
              </w:rPr>
              <w:t>企业为员工提供饮食住宿、文体娱乐、卫生保健条件，提供舒适、整洁、空气流通的工作环境。（</w:t>
            </w:r>
            <w:r>
              <w:rPr>
                <w:rFonts w:hint="eastAsia" w:ascii="仿宋_GB2312" w:hAnsi="仿宋_GB2312" w:eastAsia="仿宋_GB2312" w:cs="仿宋_GB2312"/>
                <w:b w:val="0"/>
                <w:sz w:val="20"/>
                <w:highlight w:val="none"/>
                <w:lang w:val="en-US" w:eastAsia="zh-CN"/>
              </w:rPr>
              <w:t>1</w:t>
            </w:r>
            <w:r>
              <w:rPr>
                <w:rFonts w:hint="eastAsia" w:ascii="仿宋_GB2312" w:hAnsi="仿宋_GB2312" w:eastAsia="仿宋_GB2312" w:cs="仿宋_GB2312"/>
                <w:b w:val="0"/>
                <w:sz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hint="eastAsia" w:eastAsia="仿宋_GB2312"/>
                <w:b w:val="0"/>
                <w:bCs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highlight w:val="none"/>
              </w:rPr>
            </w:pPr>
            <w:r>
              <w:rPr>
                <w:rFonts w:hint="eastAsia" w:ascii="仿宋_GB2312" w:hAnsi="仿宋_GB2312" w:eastAsia="仿宋_GB2312" w:cs="仿宋_GB2312"/>
                <w:b w:val="0"/>
                <w:sz w:val="20"/>
                <w:highlight w:val="none"/>
              </w:rPr>
              <w:t>企业为员工提供住房、养老、健康、教育等专项津贴或福利。（1分）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hint="eastAsia"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hint="eastAsia" w:eastAsia="仿宋_GB2312"/>
                <w:b w:val="0"/>
                <w:bCs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highlight w:val="none"/>
              </w:rPr>
            </w:pPr>
            <w:r>
              <w:rPr>
                <w:rFonts w:hint="eastAsia" w:ascii="仿宋_GB2312" w:hAnsi="仿宋_GB2312" w:eastAsia="仿宋_GB2312" w:cs="仿宋_GB2312"/>
                <w:b w:val="0"/>
                <w:sz w:val="20"/>
                <w:highlight w:val="none"/>
              </w:rPr>
              <w:t>企业对企业技术改造、产品研发和质量管理等有贡献的员工，给予精神、物质奖励。（1分）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highlight w:val="none"/>
              </w:rPr>
            </w:pPr>
            <w:r>
              <w:rPr>
                <w:rFonts w:hint="eastAsia" w:ascii="仿宋_GB2312" w:hAnsi="仿宋_GB2312" w:eastAsia="仿宋_GB2312" w:cs="仿宋_GB2312"/>
                <w:b w:val="0"/>
                <w:sz w:val="20"/>
                <w:highlight w:val="none"/>
              </w:rPr>
              <w:t>企业有计划、有步骤地对员工进行入职教育、上岗转岗、技能提升、思想道德等教育培训工作，对员工进行不同层次的培训或鼓励员工参加各种继续教育课程和院校培训。（1分）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bCs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highlight w:val="none"/>
              </w:rPr>
            </w:pPr>
            <w:r>
              <w:rPr>
                <w:rFonts w:hint="eastAsia" w:ascii="仿宋_GB2312" w:hAnsi="仿宋_GB2312" w:eastAsia="仿宋_GB2312" w:cs="仿宋_GB2312"/>
                <w:b w:val="0"/>
                <w:sz w:val="20"/>
                <w:highlight w:val="none"/>
              </w:rPr>
              <w:t>企业严格执行就业准入制度，国家规定持《职业资格证书》的工种持证率达到100%。（2分）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bCs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highlight w:val="none"/>
              </w:rPr>
            </w:pPr>
            <w:r>
              <w:rPr>
                <w:rFonts w:hint="eastAsia" w:ascii="仿宋_GB2312" w:hAnsi="仿宋_GB2312" w:eastAsia="仿宋_GB2312" w:cs="仿宋_GB2312"/>
                <w:b w:val="0"/>
                <w:sz w:val="20"/>
                <w:highlight w:val="none"/>
              </w:rPr>
              <w:t>企业建立“孝顺金”“爱幼金”制度，在春节、中秋节、重阳节、三八妇女节、六一儿童节等特殊节日，为员工的父母、妻子、子女等发放节日金。</w:t>
            </w:r>
            <w:r>
              <w:rPr>
                <w:rFonts w:hint="eastAsia" w:ascii="仿宋_GB2312" w:hAnsi="仿宋_GB2312" w:eastAsia="仿宋_GB2312" w:cs="仿宋_GB2312"/>
                <w:b w:val="0"/>
                <w:sz w:val="20"/>
                <w:highlight w:val="none"/>
                <w:lang w:eastAsia="zh-CN"/>
              </w:rPr>
              <w:t>（不得在工会经费列支）</w:t>
            </w:r>
            <w:r>
              <w:rPr>
                <w:rFonts w:hint="eastAsia" w:ascii="仿宋_GB2312" w:hAnsi="仿宋_GB2312" w:eastAsia="仿宋_GB2312" w:cs="仿宋_GB2312"/>
                <w:b w:val="0"/>
                <w:sz w:val="20"/>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bCs w:val="0"/>
                <w:sz w:val="18"/>
                <w:szCs w:val="18"/>
                <w:highlight w:val="none"/>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highlight w:val="none"/>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highlight w:val="none"/>
              </w:rPr>
            </w:pPr>
            <w:r>
              <w:rPr>
                <w:rFonts w:hint="eastAsia" w:ascii="仿宋_GB2312" w:hAnsi="仿宋_GB2312" w:eastAsia="仿宋_GB2312" w:cs="仿宋_GB2312"/>
                <w:b w:val="0"/>
                <w:sz w:val="20"/>
              </w:rPr>
              <w:t>企业积极组织员工开展、参与各类反诈教育活动，引导员工下载和使用“国家反诈中心”APP。（</w:t>
            </w:r>
            <w:r>
              <w:rPr>
                <w:rFonts w:hint="eastAsia" w:ascii="仿宋_GB2312" w:hAnsi="仿宋_GB2312" w:eastAsia="仿宋_GB2312" w:cs="仿宋_GB2312"/>
                <w:b w:val="0"/>
                <w:sz w:val="20"/>
                <w:lang w:val="en-US" w:eastAsia="zh-CN"/>
              </w:rPr>
              <w:t>2</w:t>
            </w:r>
            <w:r>
              <w:rPr>
                <w:rFonts w:hint="eastAsia" w:ascii="仿宋_GB2312" w:hAnsi="仿宋_GB2312" w:eastAsia="仿宋_GB2312" w:cs="仿宋_GB2312"/>
                <w:b w:val="0"/>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bCs w:val="0"/>
                <w:sz w:val="18"/>
                <w:szCs w:val="18"/>
              </w:rPr>
            </w:pPr>
            <w:r>
              <w:rPr>
                <w:rFonts w:hint="eastAsia" w:eastAsia="仿宋_GB2312"/>
                <w:b w:val="0"/>
                <w:bCs w:val="0"/>
                <w:sz w:val="18"/>
                <w:szCs w:val="18"/>
              </w:rPr>
              <w:t>13</w:t>
            </w:r>
          </w:p>
        </w:tc>
        <w:tc>
          <w:tcPr>
            <w:tcW w:w="1371" w:type="dxa"/>
            <w:vMerge w:val="continue"/>
            <w:noWrap w:val="0"/>
            <w:vAlign w:val="center"/>
          </w:tcPr>
          <w:p>
            <w:pPr>
              <w:pStyle w:val="3"/>
              <w:adjustRightInd w:val="0"/>
              <w:snapToGrid w:val="0"/>
              <w:spacing w:line="240" w:lineRule="exact"/>
              <w:rPr>
                <w:rFonts w:hint="eastAsia" w:eastAsia="仿宋_GB2312"/>
                <w:b w:val="0"/>
                <w:bCs w:val="0"/>
                <w:sz w:val="18"/>
                <w:szCs w:val="18"/>
              </w:rPr>
            </w:pPr>
          </w:p>
        </w:tc>
        <w:tc>
          <w:tcPr>
            <w:tcW w:w="1717" w:type="dxa"/>
            <w:vMerge w:val="restart"/>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企业把和谐共赢理念融入企业文化，做到诚信经营，主动承担社会责任。（7分）</w:t>
            </w:r>
          </w:p>
        </w:tc>
        <w:tc>
          <w:tcPr>
            <w:tcW w:w="12615" w:type="dxa"/>
            <w:noWrap w:val="0"/>
            <w:vAlign w:val="center"/>
          </w:tcPr>
          <w:p>
            <w:pPr>
              <w:pStyle w:val="3"/>
              <w:adjustRightInd w:val="0"/>
              <w:snapToGrid w:val="0"/>
              <w:spacing w:line="240" w:lineRule="exact"/>
              <w:jc w:val="both"/>
              <w:rPr>
                <w:rFonts w:ascii="仿宋_GB2312" w:hAnsi="仿宋_GB2312" w:eastAsia="仿宋_GB2312" w:cs="仿宋_GB2312"/>
                <w:b w:val="0"/>
                <w:sz w:val="20"/>
              </w:rPr>
            </w:pPr>
            <w:r>
              <w:rPr>
                <w:rFonts w:hint="eastAsia" w:ascii="仿宋_GB2312" w:hAnsi="仿宋_GB2312" w:eastAsia="仿宋_GB2312" w:cs="仿宋_GB2312"/>
                <w:b w:val="0"/>
                <w:sz w:val="20"/>
              </w:rPr>
              <w:t>企业积极参与环保事业，各项指标符合生态环境部门要求，并有节能减排计划和专项环保经费。（1分）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企业具有A级以上纳税、工商信用和银行信用等级。（1分）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企业积极参与扶贫帮困、捐资助学、捐款救灾等公益慈善活动，以及地方共建活动。（1分）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企业社会声誉高，获得区级以上（含区级）部门的表彰（1分）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27"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371" w:type="dxa"/>
            <w:vMerge w:val="continue"/>
            <w:noWrap w:val="0"/>
            <w:vAlign w:val="center"/>
          </w:tcPr>
          <w:p>
            <w:pPr>
              <w:pStyle w:val="3"/>
              <w:adjustRightInd w:val="0"/>
              <w:snapToGrid w:val="0"/>
              <w:spacing w:line="240" w:lineRule="exact"/>
              <w:rPr>
                <w:rFonts w:eastAsia="仿宋_GB2312"/>
                <w:b w:val="0"/>
                <w:bCs w:val="0"/>
                <w:sz w:val="18"/>
                <w:szCs w:val="18"/>
              </w:rPr>
            </w:pPr>
          </w:p>
        </w:tc>
        <w:tc>
          <w:tcPr>
            <w:tcW w:w="1717" w:type="dxa"/>
            <w:vMerge w:val="continue"/>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员工能积极参加企业组织的各项文娱体育活动，能响应企业的号召参与捐资助学等社会公益活动，能为企业的发展规划提供意见和建议，能为提升企业的经济效益和社会效益作出贡献。（</w:t>
            </w:r>
            <w:r>
              <w:rPr>
                <w:rFonts w:hint="eastAsia" w:ascii="仿宋_GB2312" w:hAnsi="仿宋_GB2312" w:eastAsia="仿宋_GB2312" w:cs="仿宋_GB2312"/>
                <w:b w:val="0"/>
                <w:sz w:val="20"/>
                <w:lang w:val="en-US" w:eastAsia="zh-CN"/>
              </w:rPr>
              <w:t>1</w:t>
            </w:r>
            <w:r>
              <w:rPr>
                <w:rFonts w:hint="eastAsia" w:ascii="仿宋_GB2312" w:hAnsi="仿宋_GB2312" w:eastAsia="仿宋_GB2312" w:cs="仿宋_GB2312"/>
                <w:b w:val="0"/>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restart"/>
            <w:noWrap w:val="0"/>
            <w:vAlign w:val="center"/>
          </w:tcPr>
          <w:p>
            <w:pPr>
              <w:pStyle w:val="3"/>
              <w:adjustRightInd w:val="0"/>
              <w:snapToGrid w:val="0"/>
              <w:spacing w:line="240" w:lineRule="exact"/>
              <w:rPr>
                <w:rFonts w:eastAsia="仿宋_GB2312"/>
                <w:b w:val="0"/>
                <w:bCs w:val="0"/>
                <w:sz w:val="18"/>
                <w:szCs w:val="18"/>
              </w:rPr>
            </w:pPr>
            <w:r>
              <w:rPr>
                <w:rFonts w:hint="eastAsia" w:eastAsia="仿宋_GB2312"/>
                <w:b w:val="0"/>
                <w:bCs w:val="0"/>
                <w:sz w:val="18"/>
                <w:szCs w:val="18"/>
              </w:rPr>
              <w:t>14</w:t>
            </w:r>
          </w:p>
        </w:tc>
        <w:tc>
          <w:tcPr>
            <w:tcW w:w="1371" w:type="dxa"/>
            <w:vMerge w:val="continue"/>
            <w:noWrap w:val="0"/>
            <w:vAlign w:val="center"/>
          </w:tcPr>
          <w:p>
            <w:pPr>
              <w:pStyle w:val="3"/>
              <w:adjustRightInd w:val="0"/>
              <w:snapToGrid w:val="0"/>
              <w:spacing w:line="240" w:lineRule="exact"/>
              <w:rPr>
                <w:rFonts w:hint="eastAsia" w:eastAsia="仿宋_GB2312"/>
                <w:b w:val="0"/>
                <w:bCs w:val="0"/>
                <w:sz w:val="18"/>
                <w:szCs w:val="18"/>
              </w:rPr>
            </w:pPr>
          </w:p>
        </w:tc>
        <w:tc>
          <w:tcPr>
            <w:tcW w:w="1717" w:type="dxa"/>
            <w:vMerge w:val="restart"/>
            <w:noWrap w:val="0"/>
            <w:vAlign w:val="center"/>
          </w:tcPr>
          <w:p>
            <w:pPr>
              <w:pStyle w:val="3"/>
              <w:adjustRightInd w:val="0"/>
              <w:snapToGrid w:val="0"/>
              <w:spacing w:line="240" w:lineRule="exact"/>
              <w:jc w:val="both"/>
              <w:rPr>
                <w:rFonts w:hint="eastAsia" w:ascii="楷体_GB2312" w:hAnsi="楷体_GB2312" w:eastAsia="楷体_GB2312" w:cs="楷体_GB2312"/>
                <w:b w:val="0"/>
                <w:sz w:val="20"/>
              </w:rPr>
            </w:pPr>
            <w:r>
              <w:rPr>
                <w:rFonts w:hint="eastAsia" w:ascii="楷体_GB2312" w:hAnsi="楷体_GB2312" w:eastAsia="楷体_GB2312" w:cs="楷体_GB2312"/>
                <w:b w:val="0"/>
                <w:sz w:val="20"/>
              </w:rPr>
              <w:t>员工热爱企业，具有组织认同感。（</w:t>
            </w:r>
            <w:r>
              <w:rPr>
                <w:rFonts w:hint="eastAsia" w:ascii="楷体_GB2312" w:hAnsi="楷体_GB2312" w:eastAsia="楷体_GB2312" w:cs="楷体_GB2312"/>
                <w:b w:val="0"/>
                <w:sz w:val="20"/>
                <w:lang w:val="en-US" w:eastAsia="zh-CN"/>
              </w:rPr>
              <w:t>3</w:t>
            </w:r>
            <w:r>
              <w:rPr>
                <w:rFonts w:hint="eastAsia" w:ascii="楷体_GB2312" w:hAnsi="楷体_GB2312" w:eastAsia="楷体_GB2312" w:cs="楷体_GB2312"/>
                <w:b w:val="0"/>
                <w:sz w:val="20"/>
              </w:rPr>
              <w:t>分）</w:t>
            </w: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员工能积极参加企业组织的各项文娱体育活动，能响应企业的号召参与捐资助学等社会公益活动，能为企业的发展规划提供意见和建议，能为提升企业的经济效益和社会效益作出贡献。（</w:t>
            </w:r>
            <w:r>
              <w:rPr>
                <w:rFonts w:hint="eastAsia" w:ascii="仿宋_GB2312" w:hAnsi="仿宋_GB2312" w:eastAsia="仿宋_GB2312" w:cs="仿宋_GB2312"/>
                <w:b w:val="0"/>
                <w:sz w:val="20"/>
                <w:lang w:val="en-US" w:eastAsia="zh-CN"/>
              </w:rPr>
              <w:t>1</w:t>
            </w:r>
            <w:r>
              <w:rPr>
                <w:rFonts w:hint="eastAsia" w:ascii="仿宋_GB2312" w:hAnsi="仿宋_GB2312" w:eastAsia="仿宋_GB2312" w:cs="仿宋_GB2312"/>
                <w:b w:val="0"/>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27" w:type="dxa"/>
            <w:vMerge w:val="continue"/>
            <w:noWrap w:val="0"/>
            <w:vAlign w:val="center"/>
          </w:tcPr>
          <w:p>
            <w:pPr>
              <w:pStyle w:val="3"/>
              <w:adjustRightInd w:val="0"/>
              <w:snapToGrid w:val="0"/>
              <w:spacing w:line="240" w:lineRule="exact"/>
              <w:rPr>
                <w:rFonts w:eastAsia="仿宋_GB2312"/>
                <w:sz w:val="18"/>
                <w:szCs w:val="13"/>
              </w:rPr>
            </w:pPr>
          </w:p>
        </w:tc>
        <w:tc>
          <w:tcPr>
            <w:tcW w:w="1371" w:type="dxa"/>
            <w:vMerge w:val="continue"/>
            <w:noWrap w:val="0"/>
            <w:vAlign w:val="center"/>
          </w:tcPr>
          <w:p>
            <w:pPr>
              <w:pStyle w:val="3"/>
              <w:adjustRightInd w:val="0"/>
              <w:snapToGrid w:val="0"/>
              <w:spacing w:line="240" w:lineRule="exact"/>
              <w:rPr>
                <w:rFonts w:eastAsia="仿宋_GB2312"/>
                <w:sz w:val="18"/>
                <w:szCs w:val="13"/>
              </w:rPr>
            </w:pPr>
          </w:p>
        </w:tc>
        <w:tc>
          <w:tcPr>
            <w:tcW w:w="1717" w:type="dxa"/>
            <w:vMerge w:val="continue"/>
            <w:noWrap w:val="0"/>
            <w:vAlign w:val="center"/>
          </w:tcPr>
          <w:p>
            <w:pPr>
              <w:pStyle w:val="3"/>
              <w:adjustRightInd w:val="0"/>
              <w:snapToGrid w:val="0"/>
              <w:spacing w:line="240" w:lineRule="exact"/>
              <w:jc w:val="both"/>
              <w:rPr>
                <w:rFonts w:eastAsia="仿宋_GB2312"/>
                <w:sz w:val="20"/>
              </w:rPr>
            </w:pPr>
          </w:p>
        </w:tc>
        <w:tc>
          <w:tcPr>
            <w:tcW w:w="12615" w:type="dxa"/>
            <w:noWrap w:val="0"/>
            <w:vAlign w:val="center"/>
          </w:tcPr>
          <w:p>
            <w:pPr>
              <w:pStyle w:val="3"/>
              <w:adjustRightInd w:val="0"/>
              <w:snapToGrid w:val="0"/>
              <w:spacing w:line="240" w:lineRule="exact"/>
              <w:jc w:val="both"/>
              <w:rPr>
                <w:rFonts w:hint="eastAsia" w:ascii="仿宋_GB2312" w:hAnsi="仿宋_GB2312" w:eastAsia="仿宋_GB2312" w:cs="仿宋_GB2312"/>
                <w:b w:val="0"/>
                <w:sz w:val="20"/>
              </w:rPr>
            </w:pPr>
            <w:r>
              <w:rPr>
                <w:rFonts w:hint="eastAsia" w:ascii="仿宋_GB2312" w:hAnsi="仿宋_GB2312" w:eastAsia="仿宋_GB2312" w:cs="仿宋_GB2312"/>
                <w:b w:val="0"/>
                <w:sz w:val="20"/>
              </w:rPr>
              <w:t>员工对企业和谐劳动关系情况的满意度达85%以上（企业工会开展员工满意度问卷调查并统计测评结果）。（2分）</w:t>
            </w:r>
          </w:p>
        </w:tc>
      </w:tr>
    </w:tbl>
    <w:p>
      <w:pPr>
        <w:rPr>
          <w:rFonts w:ascii="楷体" w:hAnsi="楷体" w:eastAsia="楷体" w:cs="楷体"/>
          <w:sz w:val="32"/>
          <w:szCs w:val="32"/>
        </w:rPr>
        <w:sectPr>
          <w:footerReference r:id="rId3" w:type="default"/>
          <w:pgSz w:w="16838" w:h="11906" w:orient="landscape"/>
          <w:pgMar w:top="981" w:right="1440" w:bottom="981" w:left="1440" w:header="851" w:footer="992" w:gutter="0"/>
          <w:pgNumType w:fmt="numberInDash" w:start="1"/>
          <w:cols w:space="72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NWExZDY1NDMxN2M0MmVjMmQyNjJlZTQyNWZjNGQifQ=="/>
  </w:docVars>
  <w:rsids>
    <w:rsidRoot w:val="05B12A09"/>
    <w:rsid w:val="05B12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firstLine="819"/>
      <w:jc w:val="left"/>
    </w:pPr>
    <w:rPr>
      <w:rFonts w:ascii="Arial Unicode MS" w:hAnsi="Arial Unicode MS" w:eastAsia="Times New Roman" w:cs="Arial Unicode MS"/>
      <w:color w:val="000000"/>
      <w:kern w:val="0"/>
      <w:sz w:val="24"/>
    </w:rPr>
  </w:style>
  <w:style w:type="paragraph" w:styleId="3">
    <w:name w:val="Body Text"/>
    <w:basedOn w:val="1"/>
    <w:unhideWhenUsed/>
    <w:qFormat/>
    <w:uiPriority w:val="99"/>
    <w:pPr>
      <w:jc w:val="center"/>
    </w:pPr>
    <w:rPr>
      <w:b/>
      <w:bCs/>
      <w:sz w:val="44"/>
    </w:rPr>
  </w:style>
  <w:style w:type="paragraph" w:styleId="4">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3-01-06T09:12:11"/>
    </inkml:context>
    <inkml:brush xml:id="br0">
      <inkml:brushProperty name="width" value="0.05292" units="cm"/>
      <inkml:brushProperty name="height" value="0.05292" units="cm"/>
      <inkml:brushProperty name="color" value="#000000"/>
      <inkml:brushProperty name="ignorePressure" value="0"/>
    </inkml:brush>
  </inkml:definitions>
  <inkml:trace contextRef="#ctx0" brushRef="#br0">7800 117743,'0'0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2023-03-31T07:03:00Z</dcterms:created>
  <dc:creator>等你烟雨青衫</dc:creator>
  <cp:lastModifiedBy>等你烟雨青衫</cp:lastModifiedBy>
  <dcterms:modified xsi:type="dcterms:W3CDTF">2023-03-31T07:04:11Z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71FF7A4DBC13466BADF7196FACE9C2E5</vt:lpwstr>
  </property>
</Properties>
</file>