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方正小标宋简体"/>
          <w:sz w:val="44"/>
          <w:szCs w:val="44"/>
        </w:rPr>
      </w:pPr>
    </w:p>
    <w:p>
      <w:pPr>
        <w:spacing w:line="56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《清远市“三线一单”生态环境分区管控方案》更新调整内容清单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lang w:eastAsia="zh-CN"/>
        </w:rPr>
      </w:pPr>
    </w:p>
    <w:p>
      <w:pPr>
        <w:ind w:left="0" w:leftChars="0" w:firstLine="0" w:firstLineChars="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《清远市“三线一单”生态环境分区管控方案》环境管控单元更新调整</w:t>
      </w:r>
    </w:p>
    <w:tbl>
      <w:tblPr>
        <w:tblStyle w:val="22"/>
        <w:tblW w:w="88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21"/>
        <w:gridCol w:w="567"/>
        <w:gridCol w:w="467"/>
        <w:gridCol w:w="809"/>
        <w:gridCol w:w="425"/>
        <w:gridCol w:w="567"/>
        <w:gridCol w:w="839"/>
        <w:gridCol w:w="3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21" w:type="dxa"/>
            <w:vMerge w:val="restart"/>
            <w:noWrap/>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bookmarkStart w:id="0" w:name="_Hlk119944382"/>
            <w:r>
              <w:rPr>
                <w:rFonts w:ascii="Times New Roman" w:hAnsi="Times New Roman" w:eastAsia="楷体_GB2312"/>
                <w:b/>
                <w:bCs/>
                <w:color w:val="000000"/>
                <w:kern w:val="0"/>
                <w:sz w:val="21"/>
                <w:szCs w:val="21"/>
              </w:rPr>
              <w:t>序号</w:t>
            </w:r>
          </w:p>
        </w:tc>
        <w:tc>
          <w:tcPr>
            <w:tcW w:w="1843" w:type="dxa"/>
            <w:gridSpan w:val="3"/>
            <w:noWrap/>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调整前</w:t>
            </w:r>
          </w:p>
        </w:tc>
        <w:tc>
          <w:tcPr>
            <w:tcW w:w="1831" w:type="dxa"/>
            <w:gridSpan w:val="3"/>
            <w:noWrap/>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调整后</w:t>
            </w:r>
          </w:p>
        </w:tc>
        <w:tc>
          <w:tcPr>
            <w:tcW w:w="3723" w:type="dxa"/>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调整情况说明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1421" w:type="dxa"/>
            <w:vMerge w:val="continue"/>
            <w:noWrap/>
            <w:vAlign w:val="center"/>
          </w:tcPr>
          <w:p>
            <w:pPr>
              <w:spacing w:line="240" w:lineRule="auto"/>
              <w:ind w:firstLine="0" w:firstLineChars="0"/>
              <w:jc w:val="center"/>
              <w:rPr>
                <w:rFonts w:ascii="Times New Roman" w:hAnsi="Times New Roman" w:eastAsia="楷体_GB2312"/>
                <w:b/>
                <w:bCs/>
                <w:color w:val="000000"/>
                <w:sz w:val="21"/>
                <w:szCs w:val="21"/>
              </w:rPr>
            </w:pPr>
          </w:p>
        </w:tc>
        <w:tc>
          <w:tcPr>
            <w:tcW w:w="567" w:type="dxa"/>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类型</w:t>
            </w:r>
          </w:p>
        </w:tc>
        <w:tc>
          <w:tcPr>
            <w:tcW w:w="467" w:type="dxa"/>
            <w:vAlign w:val="center"/>
          </w:tcPr>
          <w:p>
            <w:pPr>
              <w:spacing w:line="240" w:lineRule="auto"/>
              <w:ind w:firstLine="0" w:firstLineChars="0"/>
              <w:jc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编码</w:t>
            </w:r>
          </w:p>
        </w:tc>
        <w:tc>
          <w:tcPr>
            <w:tcW w:w="809" w:type="dxa"/>
            <w:vAlign w:val="center"/>
          </w:tcPr>
          <w:p>
            <w:pPr>
              <w:widowControl/>
              <w:spacing w:line="240" w:lineRule="auto"/>
              <w:ind w:firstLine="0" w:firstLineChars="0"/>
              <w:jc w:val="center"/>
              <w:textAlignment w:val="center"/>
              <w:rPr>
                <w:rFonts w:ascii="Times New Roman" w:hAnsi="Times New Roman" w:eastAsia="楷体_GB2312"/>
                <w:b/>
                <w:bCs/>
                <w:color w:val="000000"/>
                <w:kern w:val="0"/>
                <w:sz w:val="21"/>
                <w:szCs w:val="21"/>
              </w:rPr>
            </w:pPr>
            <w:r>
              <w:rPr>
                <w:rFonts w:ascii="Times New Roman" w:hAnsi="Times New Roman" w:eastAsia="楷体_GB2312"/>
                <w:b/>
                <w:bCs/>
                <w:color w:val="000000"/>
                <w:kern w:val="0"/>
                <w:sz w:val="21"/>
                <w:szCs w:val="21"/>
              </w:rPr>
              <w:t>名</w:t>
            </w:r>
          </w:p>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称</w:t>
            </w:r>
          </w:p>
        </w:tc>
        <w:tc>
          <w:tcPr>
            <w:tcW w:w="425" w:type="dxa"/>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类型</w:t>
            </w:r>
          </w:p>
        </w:tc>
        <w:tc>
          <w:tcPr>
            <w:tcW w:w="567" w:type="dxa"/>
            <w:vAlign w:val="center"/>
          </w:tcPr>
          <w:p>
            <w:pPr>
              <w:spacing w:line="240" w:lineRule="auto"/>
              <w:ind w:firstLine="0" w:firstLineChars="0"/>
              <w:jc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编码</w:t>
            </w:r>
          </w:p>
        </w:tc>
        <w:tc>
          <w:tcPr>
            <w:tcW w:w="839" w:type="dxa"/>
            <w:vAlign w:val="center"/>
          </w:tcPr>
          <w:p>
            <w:pPr>
              <w:widowControl/>
              <w:spacing w:line="240" w:lineRule="auto"/>
              <w:ind w:firstLine="0" w:firstLineChars="0"/>
              <w:jc w:val="center"/>
              <w:textAlignment w:val="center"/>
              <w:rPr>
                <w:rFonts w:ascii="Times New Roman" w:hAnsi="Times New Roman" w:eastAsia="楷体_GB2312"/>
                <w:b/>
                <w:bCs/>
                <w:color w:val="000000"/>
                <w:kern w:val="0"/>
                <w:sz w:val="21"/>
                <w:szCs w:val="21"/>
              </w:rPr>
            </w:pPr>
            <w:r>
              <w:rPr>
                <w:rFonts w:ascii="Times New Roman" w:hAnsi="Times New Roman" w:eastAsia="楷体_GB2312"/>
                <w:b/>
                <w:bCs/>
                <w:color w:val="000000"/>
                <w:kern w:val="0"/>
                <w:sz w:val="21"/>
                <w:szCs w:val="21"/>
              </w:rPr>
              <w:t>名</w:t>
            </w:r>
          </w:p>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称</w:t>
            </w:r>
          </w:p>
        </w:tc>
        <w:tc>
          <w:tcPr>
            <w:tcW w:w="3723" w:type="dxa"/>
            <w:vMerge w:val="continue"/>
            <w:vAlign w:val="center"/>
          </w:tcPr>
          <w:p>
            <w:pPr>
              <w:spacing w:line="240" w:lineRule="auto"/>
              <w:ind w:firstLine="0" w:firstLineChars="0"/>
              <w:jc w:val="center"/>
              <w:rPr>
                <w:rFonts w:ascii="Times New Roman" w:hAnsi="Times New Roman" w:eastAsia="楷体_GB2312"/>
                <w:b/>
                <w:bCs/>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36" w:hRule="atLeast"/>
          <w:jc w:val="center"/>
        </w:trPr>
        <w:tc>
          <w:tcPr>
            <w:tcW w:w="1421" w:type="dxa"/>
            <w:noWrap/>
            <w:vAlign w:val="center"/>
          </w:tcPr>
          <w:p>
            <w:pPr>
              <w:spacing w:line="240" w:lineRule="auto"/>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p>
        </w:tc>
        <w:tc>
          <w:tcPr>
            <w:tcW w:w="567"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重点管控单元</w:t>
            </w:r>
          </w:p>
        </w:tc>
        <w:tc>
          <w:tcPr>
            <w:tcW w:w="467"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ZH44180220009</w:t>
            </w:r>
          </w:p>
        </w:tc>
        <w:tc>
          <w:tcPr>
            <w:tcW w:w="809"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清城区迎咀水库重点管控单元</w:t>
            </w:r>
          </w:p>
        </w:tc>
        <w:tc>
          <w:tcPr>
            <w:tcW w:w="425" w:type="dxa"/>
            <w:noWrap/>
            <w:vAlign w:val="center"/>
          </w:tcPr>
          <w:p>
            <w:pPr>
              <w:spacing w:line="240" w:lineRule="auto"/>
              <w:ind w:firstLine="0" w:firstLineChars="0"/>
              <w:jc w:val="center"/>
              <w:rPr>
                <w:rFonts w:hint="eastAsia" w:ascii="楷体_GB2312" w:hAnsi="Times New Roman" w:eastAsia="楷体_GB2312"/>
                <w:b/>
                <w:bCs/>
                <w:sz w:val="21"/>
                <w:szCs w:val="21"/>
                <w:u w:val="single"/>
              </w:rPr>
            </w:pPr>
            <w:r>
              <w:rPr>
                <w:rFonts w:hint="eastAsia" w:ascii="楷体_GB2312" w:hAnsi="Times New Roman" w:eastAsia="楷体_GB2312"/>
                <w:b/>
                <w:bCs/>
                <w:sz w:val="21"/>
                <w:szCs w:val="21"/>
                <w:u w:val="single"/>
              </w:rPr>
              <w:t>优先保护单元</w:t>
            </w:r>
          </w:p>
        </w:tc>
        <w:tc>
          <w:tcPr>
            <w:tcW w:w="567" w:type="dxa"/>
            <w:noWrap/>
            <w:vAlign w:val="center"/>
          </w:tcPr>
          <w:p>
            <w:pPr>
              <w:spacing w:line="240" w:lineRule="auto"/>
              <w:ind w:firstLine="0" w:firstLineChars="0"/>
              <w:jc w:val="center"/>
              <w:rPr>
                <w:rFonts w:hint="eastAsia" w:ascii="楷体_GB2312" w:hAnsi="Times New Roman" w:eastAsia="楷体_GB2312"/>
                <w:b/>
                <w:bCs/>
                <w:sz w:val="21"/>
                <w:szCs w:val="21"/>
                <w:u w:val="single"/>
              </w:rPr>
            </w:pPr>
            <w:r>
              <w:rPr>
                <w:rFonts w:hint="eastAsia" w:ascii="楷体_GB2312" w:hAnsi="Times New Roman" w:eastAsia="楷体_GB2312"/>
                <w:b/>
                <w:bCs/>
                <w:sz w:val="21"/>
                <w:szCs w:val="21"/>
                <w:u w:val="single"/>
              </w:rPr>
              <w:t>ZH44180210003</w:t>
            </w:r>
          </w:p>
        </w:tc>
        <w:tc>
          <w:tcPr>
            <w:tcW w:w="839" w:type="dxa"/>
            <w:noWrap/>
            <w:vAlign w:val="center"/>
          </w:tcPr>
          <w:p>
            <w:pPr>
              <w:spacing w:line="240" w:lineRule="auto"/>
              <w:ind w:firstLine="0" w:firstLineChars="0"/>
              <w:jc w:val="center"/>
              <w:rPr>
                <w:rFonts w:hint="eastAsia" w:ascii="楷体_GB2312" w:hAnsi="Times New Roman" w:eastAsia="楷体_GB2312"/>
                <w:b/>
                <w:bCs/>
                <w:sz w:val="21"/>
                <w:szCs w:val="21"/>
                <w:u w:val="single"/>
              </w:rPr>
            </w:pPr>
            <w:r>
              <w:rPr>
                <w:rFonts w:hint="eastAsia" w:ascii="楷体_GB2312" w:hAnsi="Times New Roman" w:eastAsia="楷体_GB2312"/>
                <w:b/>
                <w:bCs/>
                <w:sz w:val="21"/>
                <w:szCs w:val="21"/>
                <w:u w:val="single"/>
              </w:rPr>
              <w:t>清城区迎咀水库优先保护单元</w:t>
            </w:r>
          </w:p>
        </w:tc>
        <w:tc>
          <w:tcPr>
            <w:tcW w:w="3723" w:type="dxa"/>
            <w:noWrap/>
            <w:vAlign w:val="center"/>
          </w:tcPr>
          <w:p>
            <w:pPr>
              <w:spacing w:line="240" w:lineRule="auto"/>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根据《清远市人民政府关于印发部分县</w:t>
            </w:r>
            <w:r>
              <w:rPr>
                <w:rFonts w:ascii="楷体_GB2312" w:hAnsi="Times New Roman" w:eastAsia="楷体_GB2312"/>
                <w:color w:val="000000"/>
                <w:sz w:val="21"/>
                <w:szCs w:val="21"/>
              </w:rPr>
              <w:t>(市、区)乡镇及以下集中式饮用水水源保护区划定方案的通知》（清府函[2020]225号）</w:t>
            </w:r>
            <w:r>
              <w:rPr>
                <w:rFonts w:hint="eastAsia" w:ascii="楷体_GB2312" w:hAnsi="Times New Roman" w:eastAsia="楷体_GB2312"/>
                <w:color w:val="000000"/>
                <w:sz w:val="21"/>
                <w:szCs w:val="21"/>
              </w:rPr>
              <w:t>，清城区迎咀水库重点管控单元涉及清远市清城区源潭镇乡镇级迎咀水库一级、二级饮用</w:t>
            </w:r>
            <w:r>
              <w:rPr>
                <w:rFonts w:hint="eastAsia" w:ascii="楷体_GB2312" w:hAnsi="Times New Roman" w:eastAsia="楷体_GB2312"/>
                <w:color w:val="000000"/>
                <w:sz w:val="21"/>
                <w:szCs w:val="21"/>
                <w:lang w:eastAsia="zh-CN"/>
              </w:rPr>
              <w:t>水</w:t>
            </w:r>
            <w:r>
              <w:rPr>
                <w:rFonts w:hint="eastAsia" w:ascii="楷体_GB2312" w:hAnsi="Times New Roman" w:eastAsia="楷体_GB2312"/>
                <w:color w:val="000000"/>
                <w:sz w:val="21"/>
                <w:szCs w:val="21"/>
              </w:rPr>
              <w:t>水源保护区的边界，进行更新调整该环境管控单元的类型、名称、编码及边界。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31" w:hRule="atLeast"/>
          <w:jc w:val="center"/>
        </w:trPr>
        <w:tc>
          <w:tcPr>
            <w:tcW w:w="1421" w:type="dxa"/>
            <w:noWrap/>
            <w:vAlign w:val="center"/>
          </w:tcPr>
          <w:p>
            <w:pPr>
              <w:spacing w:line="240" w:lineRule="auto"/>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p>
        </w:tc>
        <w:tc>
          <w:tcPr>
            <w:tcW w:w="567"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重点管控</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单元</w:t>
            </w:r>
          </w:p>
        </w:tc>
        <w:tc>
          <w:tcPr>
            <w:tcW w:w="467"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ZH44180220007</w:t>
            </w:r>
          </w:p>
        </w:tc>
        <w:tc>
          <w:tcPr>
            <w:tcW w:w="809"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清城区源潭镇重点管控</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单元</w:t>
            </w:r>
          </w:p>
        </w:tc>
        <w:tc>
          <w:tcPr>
            <w:tcW w:w="425"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重点管控</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单元</w:t>
            </w:r>
          </w:p>
        </w:tc>
        <w:tc>
          <w:tcPr>
            <w:tcW w:w="567"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ZH44180220007</w:t>
            </w:r>
          </w:p>
        </w:tc>
        <w:tc>
          <w:tcPr>
            <w:tcW w:w="839"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清城区源潭镇重点管控</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单元</w:t>
            </w:r>
          </w:p>
        </w:tc>
        <w:tc>
          <w:tcPr>
            <w:tcW w:w="3723" w:type="dxa"/>
            <w:noWrap/>
            <w:vAlign w:val="center"/>
          </w:tcPr>
          <w:p>
            <w:pPr>
              <w:spacing w:line="240" w:lineRule="auto"/>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调整该环境管控单元的边界，将涉及迎咀水库饮用水水源一级、二级保护区的部分纳入</w:t>
            </w:r>
            <w:r>
              <w:rPr>
                <w:rFonts w:ascii="楷体_GB2312" w:hAnsi="Times New Roman" w:eastAsia="楷体_GB2312"/>
                <w:color w:val="000000"/>
                <w:sz w:val="21"/>
                <w:szCs w:val="21"/>
              </w:rPr>
              <w:t>ZH44180210003</w:t>
            </w:r>
            <w:r>
              <w:rPr>
                <w:rFonts w:hint="eastAsia" w:ascii="楷体_GB2312" w:hAnsi="Times New Roman" w:eastAsia="楷体_GB2312"/>
                <w:color w:val="000000"/>
                <w:sz w:val="21"/>
                <w:szCs w:val="21"/>
              </w:rPr>
              <w:t>清城区迎咀水库优先保护单元。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43" w:hRule="atLeast"/>
          <w:jc w:val="center"/>
        </w:trPr>
        <w:tc>
          <w:tcPr>
            <w:tcW w:w="1421" w:type="dxa"/>
            <w:noWrap/>
            <w:vAlign w:val="center"/>
          </w:tcPr>
          <w:p>
            <w:pPr>
              <w:spacing w:line="240" w:lineRule="auto"/>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3</w:t>
            </w:r>
          </w:p>
        </w:tc>
        <w:tc>
          <w:tcPr>
            <w:tcW w:w="567"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重点管控</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单元</w:t>
            </w:r>
          </w:p>
        </w:tc>
        <w:tc>
          <w:tcPr>
            <w:tcW w:w="467"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ZH44180220010</w:t>
            </w:r>
          </w:p>
        </w:tc>
        <w:tc>
          <w:tcPr>
            <w:tcW w:w="809"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清远市国营银盏林场重</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点管控单元</w:t>
            </w:r>
          </w:p>
        </w:tc>
        <w:tc>
          <w:tcPr>
            <w:tcW w:w="425"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重点管控</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单元</w:t>
            </w:r>
          </w:p>
        </w:tc>
        <w:tc>
          <w:tcPr>
            <w:tcW w:w="567" w:type="dxa"/>
            <w:noWrap/>
            <w:vAlign w:val="center"/>
          </w:tcPr>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ZH44180220010</w:t>
            </w:r>
          </w:p>
        </w:tc>
        <w:tc>
          <w:tcPr>
            <w:tcW w:w="839" w:type="dxa"/>
            <w:noWrap/>
            <w:vAlign w:val="center"/>
          </w:tcPr>
          <w:p>
            <w:pPr>
              <w:spacing w:line="240" w:lineRule="auto"/>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清远市国营银盏林场重</w:t>
            </w:r>
          </w:p>
          <w:p>
            <w:pPr>
              <w:spacing w:line="240" w:lineRule="auto"/>
              <w:ind w:firstLine="0" w:firstLineChars="0"/>
              <w:jc w:val="center"/>
              <w:rPr>
                <w:rFonts w:ascii="楷体_GB2312" w:hAnsi="Times New Roman" w:eastAsia="楷体_GB2312"/>
                <w:color w:val="000000"/>
                <w:sz w:val="21"/>
                <w:szCs w:val="21"/>
              </w:rPr>
            </w:pPr>
            <w:r>
              <w:rPr>
                <w:rFonts w:hint="eastAsia" w:ascii="楷体_GB2312" w:hAnsi="Times New Roman" w:eastAsia="楷体_GB2312"/>
                <w:sz w:val="21"/>
                <w:szCs w:val="21"/>
              </w:rPr>
              <w:t>点管控单元</w:t>
            </w:r>
          </w:p>
        </w:tc>
        <w:tc>
          <w:tcPr>
            <w:tcW w:w="3723" w:type="dxa"/>
            <w:noWrap/>
            <w:vAlign w:val="center"/>
          </w:tcPr>
          <w:p>
            <w:pPr>
              <w:spacing w:line="240" w:lineRule="auto"/>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调整该环境管控单元的边界，将涉及迎咀水库饮用水水源二级保护区的部分纳入</w:t>
            </w:r>
            <w:r>
              <w:rPr>
                <w:rFonts w:ascii="楷体_GB2312" w:hAnsi="Times New Roman" w:eastAsia="楷体_GB2312"/>
                <w:color w:val="000000"/>
                <w:sz w:val="21"/>
                <w:szCs w:val="21"/>
              </w:rPr>
              <w:t>ZH44180210003</w:t>
            </w:r>
            <w:r>
              <w:rPr>
                <w:rFonts w:hint="eastAsia" w:ascii="楷体_GB2312" w:hAnsi="Times New Roman" w:eastAsia="楷体_GB2312"/>
                <w:color w:val="000000"/>
                <w:sz w:val="21"/>
                <w:szCs w:val="21"/>
              </w:rPr>
              <w:t>清城区迎咀水库优先保护单元。</w:t>
            </w:r>
          </w:p>
        </w:tc>
      </w:tr>
      <w:bookmarkEnd w:id="0"/>
    </w:tbl>
    <w:p>
      <w:pPr>
        <w:ind w:firstLine="480"/>
        <w:rPr>
          <w:rFonts w:hint="eastAsia" w:ascii="仿宋_GB2312" w:hAnsi="仿宋_GB2312" w:eastAsia="仿宋_GB2312" w:cs="仿宋_GB2312"/>
          <w:b/>
          <w:bCs/>
        </w:rPr>
      </w:pPr>
      <w:r>
        <w:rPr>
          <w:rFonts w:hint="eastAsia" w:ascii="仿宋_GB2312" w:hAnsi="仿宋_GB2312" w:eastAsia="仿宋_GB2312" w:cs="仿宋_GB2312"/>
          <w:b/>
          <w:bCs/>
        </w:rPr>
        <w:drawing>
          <wp:anchor distT="0" distB="0" distL="0" distR="0" simplePos="0" relativeHeight="251658240" behindDoc="0" locked="0" layoutInCell="1" allowOverlap="1">
            <wp:simplePos x="0" y="0"/>
            <wp:positionH relativeFrom="column">
              <wp:posOffset>68580</wp:posOffset>
            </wp:positionH>
            <wp:positionV relativeFrom="paragraph">
              <wp:posOffset>4017010</wp:posOffset>
            </wp:positionV>
            <wp:extent cx="5398135" cy="3709035"/>
            <wp:effectExtent l="0" t="0" r="12065" b="5715"/>
            <wp:wrapSquare wrapText="bothSides"/>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4"/>
                    <a:stretch>
                      <a:fillRect/>
                    </a:stretch>
                  </pic:blipFill>
                  <pic:spPr>
                    <a:xfrm>
                      <a:off x="0" y="0"/>
                      <a:ext cx="5398135" cy="3709035"/>
                    </a:xfrm>
                    <a:prstGeom prst="rect">
                      <a:avLst/>
                    </a:prstGeom>
                  </pic:spPr>
                </pic:pic>
              </a:graphicData>
            </a:graphic>
          </wp:anchor>
        </w:drawing>
      </w:r>
      <w:r>
        <w:rPr>
          <w:rFonts w:hint="eastAsia" w:ascii="仿宋_GB2312" w:hAnsi="仿宋_GB2312" w:eastAsia="仿宋_GB2312" w:cs="仿宋_GB2312"/>
          <w:b/>
          <w:bCs/>
        </w:rPr>
        <w:drawing>
          <wp:anchor distT="0" distB="0" distL="0" distR="0" simplePos="0" relativeHeight="251659264" behindDoc="0" locked="0" layoutInCell="1" allowOverlap="1">
            <wp:simplePos x="0" y="0"/>
            <wp:positionH relativeFrom="column">
              <wp:posOffset>93345</wp:posOffset>
            </wp:positionH>
            <wp:positionV relativeFrom="paragraph">
              <wp:posOffset>-49530</wp:posOffset>
            </wp:positionV>
            <wp:extent cx="5396865" cy="3651250"/>
            <wp:effectExtent l="0" t="0" r="13335" b="6350"/>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5"/>
                    <a:stretch>
                      <a:fillRect/>
                    </a:stretch>
                  </pic:blipFill>
                  <pic:spPr>
                    <a:xfrm>
                      <a:off x="0" y="0"/>
                      <a:ext cx="5396865" cy="3651250"/>
                    </a:xfrm>
                    <a:prstGeom prst="rect">
                      <a:avLst/>
                    </a:prstGeom>
                  </pic:spPr>
                </pic:pic>
              </a:graphicData>
            </a:graphic>
          </wp:anchor>
        </w:drawing>
      </w:r>
      <w:r>
        <w:rPr>
          <w:rFonts w:hint="eastAsia" w:ascii="仿宋_GB2312" w:hAnsi="仿宋_GB2312" w:eastAsia="仿宋_GB2312" w:cs="仿宋_GB2312"/>
          <w:b/>
          <w:bCs/>
        </w:rPr>
        <w:t xml:space="preserve">图 </w:t>
      </w:r>
      <w:r>
        <w:rPr>
          <w:rFonts w:hint="eastAsia" w:ascii="仿宋_GB2312" w:hAnsi="仿宋_GB2312" w:eastAsia="仿宋_GB2312" w:cs="仿宋_GB2312"/>
          <w:b/>
          <w:bCs/>
        </w:rPr>
        <w:fldChar w:fldCharType="begin"/>
      </w:r>
      <w:r>
        <w:rPr>
          <w:rFonts w:hint="eastAsia" w:ascii="仿宋_GB2312" w:hAnsi="仿宋_GB2312" w:eastAsia="仿宋_GB2312" w:cs="仿宋_GB2312"/>
          <w:b/>
          <w:bCs/>
        </w:rPr>
        <w:instrText xml:space="preserve"> SEQ 图 \* ARABIC </w:instrText>
      </w:r>
      <w:r>
        <w:rPr>
          <w:rFonts w:hint="eastAsia" w:ascii="仿宋_GB2312" w:hAnsi="仿宋_GB2312" w:eastAsia="仿宋_GB2312" w:cs="仿宋_GB2312"/>
          <w:b/>
          <w:bCs/>
        </w:rPr>
        <w:fldChar w:fldCharType="separate"/>
      </w:r>
      <w:r>
        <w:rPr>
          <w:rFonts w:hint="eastAsia" w:ascii="仿宋_GB2312" w:hAnsi="仿宋_GB2312" w:eastAsia="仿宋_GB2312" w:cs="仿宋_GB2312"/>
          <w:b/>
          <w:bCs/>
        </w:rPr>
        <w:t>1</w:t>
      </w:r>
      <w:r>
        <w:rPr>
          <w:rFonts w:hint="eastAsia" w:ascii="仿宋_GB2312" w:hAnsi="仿宋_GB2312" w:eastAsia="仿宋_GB2312" w:cs="仿宋_GB2312"/>
          <w:b/>
          <w:bCs/>
        </w:rPr>
        <w:fldChar w:fldCharType="end"/>
      </w:r>
      <w:r>
        <w:rPr>
          <w:rFonts w:hint="eastAsia" w:ascii="仿宋_GB2312" w:hAnsi="仿宋_GB2312" w:eastAsia="仿宋_GB2312" w:cs="仿宋_GB2312"/>
          <w:b/>
          <w:bCs/>
        </w:rPr>
        <w:t xml:space="preserve"> 清城区迎咀水库重点管控单元调整为清城区迎咀水库优先保护单元前</w:t>
      </w:r>
    </w:p>
    <w:p>
      <w:pPr>
        <w:pStyle w:val="9"/>
        <w:jc w:val="center"/>
      </w:pPr>
      <w:r>
        <w:rPr>
          <w:rFonts w:hint="eastAsia" w:ascii="仿宋_GB2312" w:hAnsi="仿宋_GB2312" w:eastAsia="仿宋_GB2312" w:cs="仿宋_GB2312"/>
        </w:rPr>
        <w:t xml:space="preserve">图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SEQ 图 \* ARABIC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清城区迎咀水库重点管控单元调整为清城区迎咀水库优先保护单元后</w:t>
      </w:r>
    </w:p>
    <w:p>
      <w:pPr>
        <w:widowControl/>
        <w:spacing w:line="240" w:lineRule="auto"/>
        <w:ind w:firstLine="0" w:firstLineChars="0"/>
      </w:pPr>
      <w:r>
        <w:br w:type="page"/>
      </w:r>
      <w:r>
        <w:rPr>
          <w:rFonts w:hint="eastAsia" w:ascii="黑体" w:hAnsi="黑体" w:eastAsia="黑体" w:cs="黑体"/>
          <w:sz w:val="32"/>
          <w:szCs w:val="32"/>
          <w:lang w:eastAsia="zh-CN"/>
        </w:rPr>
        <w:t>二、</w:t>
      </w:r>
      <w:r>
        <w:rPr>
          <w:rFonts w:hint="eastAsia" w:ascii="黑体" w:hAnsi="黑体" w:eastAsia="黑体" w:cs="黑体"/>
          <w:sz w:val="32"/>
          <w:szCs w:val="32"/>
        </w:rPr>
        <w:t>《清远市“三线一单”生态环境分区管控方案》市级生态环境准入清单更新调整</w:t>
      </w:r>
    </w:p>
    <w:tbl>
      <w:tblPr>
        <w:tblStyle w:val="22"/>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6"/>
        <w:gridCol w:w="1446"/>
        <w:gridCol w:w="972"/>
        <w:gridCol w:w="2922"/>
        <w:gridCol w:w="30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4" w:type="pct"/>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序号</w:t>
            </w:r>
          </w:p>
        </w:tc>
        <w:tc>
          <w:tcPr>
            <w:tcW w:w="1334" w:type="pct"/>
            <w:gridSpan w:val="2"/>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kern w:val="0"/>
                <w:sz w:val="21"/>
                <w:szCs w:val="21"/>
              </w:rPr>
            </w:pPr>
            <w:r>
              <w:rPr>
                <w:rFonts w:ascii="Times New Roman" w:hAnsi="Times New Roman" w:eastAsia="楷体_GB2312"/>
                <w:b/>
                <w:bCs/>
                <w:color w:val="000000"/>
                <w:kern w:val="0"/>
                <w:sz w:val="21"/>
                <w:szCs w:val="21"/>
              </w:rPr>
              <w:t>管控维度</w:t>
            </w:r>
          </w:p>
        </w:tc>
        <w:tc>
          <w:tcPr>
            <w:tcW w:w="3280" w:type="pct"/>
            <w:gridSpan w:val="2"/>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生态环境准入清单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4" w:type="pct"/>
            <w:vMerge w:val="continue"/>
            <w:vAlign w:val="center"/>
          </w:tcPr>
          <w:p>
            <w:pPr>
              <w:spacing w:line="240" w:lineRule="auto"/>
              <w:ind w:firstLine="0" w:firstLineChars="0"/>
              <w:jc w:val="center"/>
              <w:rPr>
                <w:rFonts w:ascii="Times New Roman" w:hAnsi="Times New Roman" w:eastAsia="楷体_GB2312"/>
                <w:b/>
                <w:bCs/>
                <w:color w:val="000000"/>
                <w:sz w:val="21"/>
                <w:szCs w:val="21"/>
              </w:rPr>
            </w:pPr>
          </w:p>
        </w:tc>
        <w:tc>
          <w:tcPr>
            <w:tcW w:w="1334" w:type="pct"/>
            <w:gridSpan w:val="2"/>
            <w:vMerge w:val="continue"/>
            <w:vAlign w:val="center"/>
          </w:tcPr>
          <w:p>
            <w:pPr>
              <w:widowControl/>
              <w:spacing w:line="240" w:lineRule="auto"/>
              <w:ind w:firstLine="0" w:firstLineChars="0"/>
              <w:jc w:val="center"/>
              <w:textAlignment w:val="center"/>
              <w:rPr>
                <w:rFonts w:ascii="Times New Roman" w:hAnsi="Times New Roman" w:eastAsia="楷体_GB2312"/>
                <w:b/>
                <w:bCs/>
                <w:color w:val="000000"/>
                <w:kern w:val="0"/>
                <w:sz w:val="21"/>
                <w:szCs w:val="21"/>
              </w:rPr>
            </w:pPr>
          </w:p>
        </w:tc>
        <w:tc>
          <w:tcPr>
            <w:tcW w:w="1612" w:type="pct"/>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调整前</w:t>
            </w:r>
          </w:p>
        </w:tc>
        <w:tc>
          <w:tcPr>
            <w:tcW w:w="1668" w:type="pct"/>
            <w:vAlign w:val="center"/>
          </w:tcPr>
          <w:p>
            <w:pPr>
              <w:widowControl/>
              <w:spacing w:line="240" w:lineRule="auto"/>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调整后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4" w:type="pct"/>
            <w:vAlign w:val="center"/>
          </w:tcPr>
          <w:p>
            <w:pPr>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p>
        </w:tc>
        <w:tc>
          <w:tcPr>
            <w:tcW w:w="798" w:type="pct"/>
            <w:vAlign w:val="center"/>
          </w:tcPr>
          <w:p>
            <w:pPr>
              <w:spacing w:line="260" w:lineRule="exact"/>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三、生态环境分区管控</w:t>
            </w:r>
          </w:p>
          <w:p>
            <w:pPr>
              <w:spacing w:line="260" w:lineRule="exact"/>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（一）全市生态环境准入共性清单</w:t>
            </w:r>
          </w:p>
        </w:tc>
        <w:tc>
          <w:tcPr>
            <w:tcW w:w="536" w:type="pct"/>
            <w:vAlign w:val="center"/>
          </w:tcPr>
          <w:p>
            <w:pPr>
              <w:spacing w:line="260" w:lineRule="exact"/>
              <w:ind w:firstLine="0" w:firstLineChars="0"/>
              <w:jc w:val="center"/>
              <w:rPr>
                <w:rFonts w:ascii="楷体_GB2312" w:hAnsi="Times New Roman" w:eastAsia="楷体_GB2312"/>
                <w:sz w:val="21"/>
                <w:szCs w:val="21"/>
              </w:rPr>
            </w:pPr>
            <w:r>
              <w:rPr>
                <w:rFonts w:ascii="楷体_GB2312" w:hAnsi="Times New Roman" w:eastAsia="楷体_GB2312"/>
                <w:sz w:val="21"/>
                <w:szCs w:val="21"/>
              </w:rPr>
              <w:t>1.区域布局管控要求。</w:t>
            </w:r>
          </w:p>
        </w:tc>
        <w:tc>
          <w:tcPr>
            <w:tcW w:w="1612" w:type="pct"/>
            <w:vAlign w:val="center"/>
          </w:tcPr>
          <w:p>
            <w:pPr>
              <w:spacing w:line="260" w:lineRule="exact"/>
              <w:ind w:firstLine="0" w:firstLineChars="0"/>
              <w:jc w:val="both"/>
              <w:rPr>
                <w:rFonts w:ascii="楷体_GB2312" w:hAnsi="Times New Roman" w:eastAsia="楷体_GB2312"/>
                <w:sz w:val="21"/>
                <w:szCs w:val="21"/>
              </w:rPr>
            </w:pPr>
            <w:r>
              <w:rPr>
                <w:rFonts w:hint="eastAsia" w:ascii="楷体_GB2312" w:hAnsi="Times New Roman" w:eastAsia="楷体_GB2312"/>
                <w:sz w:val="21"/>
                <w:szCs w:val="21"/>
              </w:rPr>
              <w:t>禁止在城市建成区新建、扩建使用溶剂型油墨、涂料、清洗剂、胶黏剂等高挥发性有机物原辅材料的化工、包装印刷、工业涂装等项目。</w:t>
            </w:r>
          </w:p>
        </w:tc>
        <w:tc>
          <w:tcPr>
            <w:tcW w:w="1668" w:type="pct"/>
            <w:vAlign w:val="center"/>
          </w:tcPr>
          <w:p>
            <w:pPr>
              <w:spacing w:line="260" w:lineRule="exact"/>
              <w:ind w:firstLine="0" w:firstLineChars="0"/>
              <w:jc w:val="both"/>
              <w:rPr>
                <w:rFonts w:ascii="楷体_GB2312" w:hAnsi="Times New Roman" w:eastAsia="楷体_GB2312"/>
                <w:sz w:val="21"/>
                <w:szCs w:val="21"/>
              </w:rPr>
            </w:pPr>
            <w:r>
              <w:rPr>
                <w:rFonts w:hint="eastAsia" w:ascii="楷体_GB2312" w:hAnsi="Times New Roman" w:eastAsia="楷体_GB2312"/>
                <w:sz w:val="21"/>
                <w:szCs w:val="21"/>
              </w:rPr>
              <w:t>禁止在城市建成区</w:t>
            </w:r>
            <w:r>
              <w:rPr>
                <w:rFonts w:hint="eastAsia" w:ascii="楷体_GB2312" w:hAnsi="Times New Roman" w:eastAsia="楷体_GB2312"/>
                <w:b/>
                <w:bCs/>
                <w:sz w:val="21"/>
                <w:szCs w:val="21"/>
                <w:u w:val="single"/>
              </w:rPr>
              <w:t>（工业园区内除外</w:t>
            </w:r>
            <w:r>
              <w:rPr>
                <w:rFonts w:hint="eastAsia" w:ascii="楷体_GB2312" w:hAnsi="Times New Roman" w:eastAsia="楷体_GB2312"/>
                <w:b/>
                <w:bCs/>
                <w:sz w:val="21"/>
                <w:szCs w:val="21"/>
              </w:rPr>
              <w:t>）</w:t>
            </w:r>
            <w:r>
              <w:rPr>
                <w:rFonts w:hint="eastAsia" w:ascii="楷体_GB2312" w:hAnsi="Times New Roman" w:eastAsia="楷体_GB2312"/>
                <w:sz w:val="21"/>
                <w:szCs w:val="21"/>
              </w:rPr>
              <w:t>新建、扩建使用溶剂型油墨、涂料、清洗剂、胶黏剂等高挥发性有机物原辅材料的化工、包装印刷、工业涂装等项目。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384" w:type="pct"/>
            <w:vAlign w:val="center"/>
          </w:tcPr>
          <w:p>
            <w:pPr>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p>
        </w:tc>
        <w:tc>
          <w:tcPr>
            <w:tcW w:w="798" w:type="pct"/>
            <w:vAlign w:val="center"/>
          </w:tcPr>
          <w:p>
            <w:pPr>
              <w:spacing w:line="260" w:lineRule="exact"/>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三、生态环境分区管控</w:t>
            </w:r>
          </w:p>
          <w:p>
            <w:pPr>
              <w:spacing w:line="260" w:lineRule="exact"/>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（一）全市生态环境准入共性清单</w:t>
            </w:r>
          </w:p>
        </w:tc>
        <w:tc>
          <w:tcPr>
            <w:tcW w:w="536" w:type="pct"/>
            <w:vAlign w:val="center"/>
          </w:tcPr>
          <w:p>
            <w:pPr>
              <w:spacing w:line="260" w:lineRule="exact"/>
              <w:ind w:firstLine="0" w:firstLineChars="0"/>
              <w:jc w:val="center"/>
              <w:rPr>
                <w:rFonts w:ascii="楷体_GB2312" w:hAnsi="Times New Roman" w:eastAsia="楷体_GB2312"/>
                <w:color w:val="000000"/>
                <w:sz w:val="21"/>
                <w:szCs w:val="21"/>
              </w:rPr>
            </w:pPr>
            <w:r>
              <w:rPr>
                <w:rFonts w:ascii="楷体_GB2312" w:hAnsi="Times New Roman" w:eastAsia="楷体_GB2312"/>
                <w:color w:val="000000"/>
                <w:sz w:val="21"/>
                <w:szCs w:val="21"/>
              </w:rPr>
              <w:t>1.区域布局管控要求。</w:t>
            </w:r>
          </w:p>
        </w:tc>
        <w:tc>
          <w:tcPr>
            <w:tcW w:w="1612" w:type="pct"/>
            <w:vAlign w:val="center"/>
          </w:tcPr>
          <w:p>
            <w:pPr>
              <w:spacing w:line="260" w:lineRule="exact"/>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禁止新建炼钢炼铁（产能置换项目除外）、电解铝、水泥 （粉磨站、特种水泥、产能置换项目除外）、陶瓷（新型特种陶瓷项目除外）等高耗能行业；禁止新建、扩建以毛皮和蓝湿皮等为原料的鞣革等高污染项目；禁止在依法合规设立并经规划环评的产业园区外新建、扩建石化、化工、焦化、有色金属冶炼、含有炼化及硫化工艺的橡胶等高风险项目；禁止新建园区外的专业电镀、专业印染、化学制浆、废塑料、废橡胶等废旧资源综合利用项目。</w:t>
            </w:r>
          </w:p>
        </w:tc>
        <w:tc>
          <w:tcPr>
            <w:tcW w:w="1668" w:type="pct"/>
            <w:vAlign w:val="center"/>
          </w:tcPr>
          <w:p>
            <w:pPr>
              <w:spacing w:line="260" w:lineRule="exact"/>
              <w:ind w:firstLine="0" w:firstLineChars="0"/>
              <w:jc w:val="both"/>
              <w:rPr>
                <w:rFonts w:ascii="楷体_GB2312" w:hAnsi="Times New Roman" w:eastAsia="楷体_GB2312"/>
                <w:b/>
                <w:bCs/>
                <w:sz w:val="21"/>
                <w:szCs w:val="21"/>
                <w:u w:val="single"/>
              </w:rPr>
            </w:pPr>
            <w:r>
              <w:rPr>
                <w:rFonts w:hint="eastAsia" w:ascii="楷体_GB2312" w:hAnsi="Times New Roman" w:eastAsia="楷体_GB2312"/>
                <w:color w:val="000000"/>
                <w:sz w:val="21"/>
                <w:szCs w:val="21"/>
              </w:rPr>
              <w:t>禁止新建炼钢炼铁（产能置换项目除外）、电解铝、水泥 （粉磨站、特种水泥、产能置换项目除外）、陶瓷（新型特种陶瓷项目除外）等高耗能行业；禁止新建、扩建以毛皮和蓝湿皮等为原料的鞣革等高污染项目；禁止在依法合规设立并经规划环评的产业园区外新建、扩建石化、化工、焦化、有色金属冶炼、含有</w:t>
            </w:r>
            <w:r>
              <w:rPr>
                <w:rFonts w:hint="eastAsia" w:ascii="楷体_GB2312" w:hAnsi="Times New Roman" w:eastAsia="楷体_GB2312"/>
                <w:b/>
                <w:bCs/>
                <w:color w:val="000000"/>
                <w:sz w:val="21"/>
                <w:szCs w:val="21"/>
                <w:u w:val="single"/>
              </w:rPr>
              <w:t>碳化、</w:t>
            </w:r>
            <w:r>
              <w:rPr>
                <w:rFonts w:hint="eastAsia" w:ascii="楷体_GB2312" w:hAnsi="Times New Roman" w:eastAsia="楷体_GB2312"/>
                <w:color w:val="000000"/>
                <w:sz w:val="21"/>
                <w:szCs w:val="21"/>
              </w:rPr>
              <w:t>炼化及硫化工艺的橡胶等高风险项目；</w:t>
            </w:r>
            <w:r>
              <w:rPr>
                <w:rFonts w:hint="eastAsia" w:ascii="楷体_GB2312" w:hAnsi="Times New Roman" w:eastAsia="楷体_GB2312"/>
                <w:b/>
                <w:bCs/>
                <w:sz w:val="21"/>
                <w:szCs w:val="21"/>
                <w:u w:val="single"/>
              </w:rPr>
              <w:t>禁止新建园区外的专业电镀、专业印染、化学制浆、废塑料等项目；禁止新增含碳化、炼化、硫化等污染工序的废橡胶加工项目。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4" w:type="pct"/>
            <w:vAlign w:val="center"/>
          </w:tcPr>
          <w:p>
            <w:pPr>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sz w:val="21"/>
                <w:szCs w:val="21"/>
              </w:rPr>
              <w:t>3</w:t>
            </w:r>
          </w:p>
        </w:tc>
        <w:tc>
          <w:tcPr>
            <w:tcW w:w="798" w:type="pct"/>
            <w:vAlign w:val="center"/>
          </w:tcPr>
          <w:p>
            <w:pPr>
              <w:spacing w:line="260" w:lineRule="exact"/>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三、生态环境分区管控</w:t>
            </w:r>
          </w:p>
          <w:p>
            <w:pPr>
              <w:spacing w:line="260" w:lineRule="exact"/>
              <w:ind w:firstLine="0" w:firstLineChars="0"/>
              <w:jc w:val="center"/>
              <w:rPr>
                <w:rFonts w:ascii="楷体_GB2312" w:hAnsi="Times New Roman" w:eastAsia="楷体_GB2312"/>
                <w:color w:val="000000"/>
                <w:sz w:val="21"/>
                <w:szCs w:val="21"/>
              </w:rPr>
            </w:pPr>
            <w:r>
              <w:rPr>
                <w:rFonts w:hint="eastAsia" w:ascii="楷体_GB2312" w:hAnsi="Times New Roman" w:eastAsia="楷体_GB2312"/>
                <w:color w:val="000000"/>
                <w:sz w:val="21"/>
                <w:szCs w:val="21"/>
              </w:rPr>
              <w:t>（一）全市生态环境准入共性清单</w:t>
            </w:r>
          </w:p>
        </w:tc>
        <w:tc>
          <w:tcPr>
            <w:tcW w:w="536" w:type="pct"/>
            <w:vAlign w:val="center"/>
          </w:tcPr>
          <w:p>
            <w:pPr>
              <w:spacing w:line="260" w:lineRule="exact"/>
              <w:ind w:firstLine="0" w:firstLineChars="0"/>
              <w:jc w:val="center"/>
              <w:rPr>
                <w:rFonts w:ascii="楷体_GB2312" w:hAnsi="Times New Roman" w:eastAsia="楷体_GB2312"/>
                <w:color w:val="000000"/>
                <w:sz w:val="21"/>
                <w:szCs w:val="21"/>
              </w:rPr>
            </w:pPr>
            <w:r>
              <w:rPr>
                <w:rFonts w:ascii="楷体_GB2312" w:hAnsi="Times New Roman" w:eastAsia="楷体_GB2312"/>
                <w:color w:val="000000"/>
                <w:sz w:val="21"/>
                <w:szCs w:val="21"/>
              </w:rPr>
              <w:t>1.区域布局管控要求。</w:t>
            </w:r>
          </w:p>
        </w:tc>
        <w:tc>
          <w:tcPr>
            <w:tcW w:w="1612" w:type="pct"/>
            <w:vAlign w:val="center"/>
          </w:tcPr>
          <w:p>
            <w:pPr>
              <w:spacing w:line="260" w:lineRule="exact"/>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大力培育和发展电子信息、汽车零配件、先进材料、生物医药、绿色食品等战略性支柱产业以及前沿新材料、安全应急等战略性新兴产业，促进产业结构转型和全面提升产业发展层次，实施产业延链强链工程，促进产业集群发展。</w:t>
            </w:r>
          </w:p>
        </w:tc>
        <w:tc>
          <w:tcPr>
            <w:tcW w:w="1668" w:type="pct"/>
            <w:vAlign w:val="center"/>
          </w:tcPr>
          <w:p>
            <w:pPr>
              <w:spacing w:line="260" w:lineRule="exact"/>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大力培育和发展电子信息、汽车零配件、先进材料、生物医药、绿色食品等战略性支柱产业以及前沿新材料、安全应急等战略性新兴产业，促进产业结构转型和全面提升产业发展层次，实施产业延链强链工程</w:t>
            </w:r>
            <w:r>
              <w:rPr>
                <w:rFonts w:hint="eastAsia" w:ascii="楷体_GB2312" w:hAnsi="Times New Roman" w:eastAsia="楷体_GB2312"/>
                <w:sz w:val="21"/>
                <w:szCs w:val="21"/>
              </w:rPr>
              <w:t>，</w:t>
            </w:r>
            <w:r>
              <w:rPr>
                <w:rFonts w:hint="eastAsia" w:ascii="楷体_GB2312" w:hAnsi="Times New Roman" w:eastAsia="楷体_GB2312"/>
                <w:b/>
                <w:bCs/>
                <w:sz w:val="21"/>
                <w:szCs w:val="21"/>
                <w:u w:val="single"/>
              </w:rPr>
              <w:t>鼓励产业强链补链项目准入，</w:t>
            </w:r>
            <w:r>
              <w:rPr>
                <w:rFonts w:hint="eastAsia" w:ascii="楷体_GB2312" w:hAnsi="Times New Roman" w:eastAsia="楷体_GB2312"/>
                <w:sz w:val="21"/>
                <w:szCs w:val="21"/>
              </w:rPr>
              <w:t>促进产业集群发展。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4" w:type="pct"/>
            <w:vAlign w:val="center"/>
          </w:tcPr>
          <w:p>
            <w:pPr>
              <w:spacing w:line="260" w:lineRule="exact"/>
              <w:ind w:firstLine="0" w:firstLineChars="0"/>
              <w:jc w:val="center"/>
              <w:rPr>
                <w:rFonts w:ascii="Times New Roman" w:hAnsi="Times New Roman" w:eastAsia="宋体"/>
                <w:sz w:val="21"/>
                <w:szCs w:val="21"/>
              </w:rPr>
            </w:pPr>
            <w:r>
              <w:rPr>
                <w:rFonts w:hint="eastAsia" w:ascii="Times New Roman" w:hAnsi="Times New Roman" w:eastAsia="宋体"/>
                <w:sz w:val="21"/>
                <w:szCs w:val="21"/>
              </w:rPr>
              <w:t>4</w:t>
            </w:r>
          </w:p>
        </w:tc>
        <w:tc>
          <w:tcPr>
            <w:tcW w:w="798" w:type="pct"/>
            <w:vAlign w:val="center"/>
          </w:tcPr>
          <w:p>
            <w:pPr>
              <w:spacing w:line="260" w:lineRule="exact"/>
              <w:ind w:firstLine="0" w:firstLineChars="0"/>
              <w:jc w:val="center"/>
              <w:rPr>
                <w:rFonts w:ascii="楷体_GB2312" w:hAnsi="Times New Roman" w:eastAsia="楷体_GB2312"/>
                <w:sz w:val="21"/>
                <w:szCs w:val="21"/>
              </w:rPr>
            </w:pPr>
            <w:r>
              <w:rPr>
                <w:rFonts w:hint="eastAsia" w:ascii="楷体_GB2312" w:hAnsi="Times New Roman" w:eastAsia="楷体_GB2312"/>
                <w:sz w:val="21"/>
                <w:szCs w:val="21"/>
              </w:rPr>
              <w:t>（二）清远市南部地区、清远市北部地区准入清单</w:t>
            </w:r>
          </w:p>
          <w:p>
            <w:pPr>
              <w:spacing w:line="260" w:lineRule="exact"/>
              <w:ind w:firstLine="0" w:firstLineChars="0"/>
              <w:jc w:val="center"/>
              <w:rPr>
                <w:rFonts w:ascii="楷体_GB2312" w:hAnsi="Times New Roman" w:eastAsia="楷体_GB2312"/>
                <w:sz w:val="21"/>
                <w:szCs w:val="21"/>
              </w:rPr>
            </w:pPr>
            <w:r>
              <w:rPr>
                <w:rFonts w:ascii="楷体_GB2312" w:hAnsi="Times New Roman" w:eastAsia="楷体_GB2312"/>
                <w:sz w:val="21"/>
                <w:szCs w:val="21"/>
              </w:rPr>
              <w:t>1.清远市南部地区</w:t>
            </w:r>
          </w:p>
          <w:p>
            <w:pPr>
              <w:spacing w:line="260" w:lineRule="exact"/>
              <w:ind w:firstLine="0" w:firstLineChars="0"/>
              <w:jc w:val="center"/>
              <w:rPr>
                <w:rFonts w:ascii="楷体_GB2312" w:hAnsi="Times New Roman" w:eastAsia="楷体_GB2312"/>
                <w:sz w:val="21"/>
                <w:szCs w:val="21"/>
              </w:rPr>
            </w:pPr>
          </w:p>
        </w:tc>
        <w:tc>
          <w:tcPr>
            <w:tcW w:w="536" w:type="pct"/>
            <w:vAlign w:val="center"/>
          </w:tcPr>
          <w:p>
            <w:pPr>
              <w:spacing w:line="260" w:lineRule="exact"/>
              <w:ind w:firstLine="0" w:firstLineChars="0"/>
              <w:jc w:val="center"/>
              <w:rPr>
                <w:rFonts w:ascii="楷体_GB2312" w:hAnsi="Times New Roman" w:eastAsia="楷体_GB2312"/>
                <w:color w:val="000000"/>
                <w:sz w:val="21"/>
                <w:szCs w:val="21"/>
              </w:rPr>
            </w:pPr>
            <w:r>
              <w:rPr>
                <w:rFonts w:ascii="楷体_GB2312" w:hAnsi="Times New Roman" w:eastAsia="楷体_GB2312"/>
                <w:color w:val="000000"/>
                <w:sz w:val="21"/>
                <w:szCs w:val="21"/>
              </w:rPr>
              <w:t>1.区域布局管控要求</w:t>
            </w:r>
          </w:p>
        </w:tc>
        <w:tc>
          <w:tcPr>
            <w:tcW w:w="1612" w:type="pct"/>
            <w:vAlign w:val="center"/>
          </w:tcPr>
          <w:p>
            <w:pPr>
              <w:spacing w:line="260" w:lineRule="exact"/>
              <w:ind w:firstLine="0" w:firstLineChars="0"/>
              <w:jc w:val="both"/>
              <w:rPr>
                <w:rFonts w:ascii="楷体_GB2312" w:hAnsi="Times New Roman" w:eastAsia="楷体_GB2312"/>
                <w:color w:val="000000"/>
                <w:sz w:val="21"/>
                <w:szCs w:val="21"/>
              </w:rPr>
            </w:pPr>
            <w:r>
              <w:rPr>
                <w:rFonts w:hint="eastAsia" w:ascii="楷体_GB2312" w:hAnsi="Times New Roman" w:eastAsia="楷体_GB2312"/>
                <w:color w:val="000000"/>
                <w:sz w:val="21"/>
                <w:szCs w:val="21"/>
              </w:rPr>
              <w:t>/</w:t>
            </w:r>
          </w:p>
        </w:tc>
        <w:tc>
          <w:tcPr>
            <w:tcW w:w="1668" w:type="pct"/>
            <w:vAlign w:val="center"/>
          </w:tcPr>
          <w:p>
            <w:pPr>
              <w:spacing w:line="260" w:lineRule="exact"/>
              <w:ind w:firstLine="0" w:firstLineChars="0"/>
              <w:jc w:val="both"/>
              <w:rPr>
                <w:rFonts w:ascii="楷体_GB2312" w:hAnsi="Times New Roman" w:eastAsia="楷体_GB2312"/>
                <w:b/>
                <w:bCs/>
                <w:color w:val="000000"/>
                <w:sz w:val="21"/>
                <w:szCs w:val="21"/>
              </w:rPr>
            </w:pPr>
            <w:r>
              <w:rPr>
                <w:rFonts w:hint="eastAsia" w:ascii="楷体_GB2312" w:hAnsi="Times New Roman" w:eastAsia="楷体_GB2312"/>
                <w:b/>
                <w:bCs/>
                <w:color w:val="000000"/>
                <w:sz w:val="21"/>
                <w:szCs w:val="21"/>
              </w:rPr>
              <w:t>新增：</w:t>
            </w:r>
          </w:p>
          <w:p>
            <w:pPr>
              <w:spacing w:line="260" w:lineRule="exact"/>
              <w:ind w:firstLine="0" w:firstLineChars="0"/>
              <w:jc w:val="both"/>
              <w:rPr>
                <w:rFonts w:ascii="楷体_GB2312" w:hAnsi="Times New Roman" w:eastAsia="楷体_GB2312"/>
                <w:b/>
                <w:bCs/>
                <w:color w:val="000000"/>
                <w:sz w:val="21"/>
                <w:szCs w:val="21"/>
                <w:u w:val="single"/>
              </w:rPr>
            </w:pPr>
            <w:r>
              <w:rPr>
                <w:rFonts w:hint="eastAsia" w:ascii="楷体_GB2312" w:hAnsi="Times New Roman" w:eastAsia="楷体_GB2312"/>
                <w:b/>
                <w:bCs/>
                <w:sz w:val="21"/>
                <w:szCs w:val="21"/>
                <w:u w:val="single"/>
              </w:rPr>
              <w:t>清城区内禁止新建综合利用基地（园区）外的废塑料项目；</w:t>
            </w:r>
          </w:p>
        </w:tc>
      </w:tr>
    </w:tbl>
    <w:p>
      <w:pPr>
        <w:widowControl/>
        <w:spacing w:line="240" w:lineRule="auto"/>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2211" w:right="1474" w:bottom="1871" w:left="1587" w:header="851" w:footer="992" w:gutter="0"/>
          <w:pgNumType w:fmt="numberInDash"/>
          <w:cols w:space="425" w:num="1"/>
          <w:docGrid w:type="lines" w:linePitch="312" w:charSpace="0"/>
        </w:sectPr>
      </w:pPr>
      <w:r>
        <w:br w:type="page"/>
      </w:r>
    </w:p>
    <w:p>
      <w:pPr>
        <w:widowControl/>
        <w:spacing w:line="240" w:lineRule="auto"/>
        <w:ind w:firstLine="0" w:firstLineChars="0"/>
      </w:pPr>
    </w:p>
    <w:p>
      <w:pPr>
        <w:ind w:left="0" w:leftChars="0" w:firstLine="0" w:firstLineChars="0"/>
        <w:rPr>
          <w:rFonts w:hint="eastAsia" w:ascii="黑体" w:hAnsi="黑体" w:eastAsia="黑体" w:cs="黑体"/>
          <w:sz w:val="32"/>
          <w:szCs w:val="32"/>
        </w:rPr>
      </w:pPr>
      <w:bookmarkStart w:id="1" w:name="_Hlk126917693"/>
      <w:r>
        <w:rPr>
          <w:rFonts w:hint="eastAsia" w:ascii="黑体" w:hAnsi="黑体" w:eastAsia="黑体" w:cs="黑体"/>
          <w:sz w:val="32"/>
          <w:szCs w:val="32"/>
          <w:lang w:eastAsia="zh-CN"/>
        </w:rPr>
        <w:t>三、</w:t>
      </w:r>
      <w:r>
        <w:rPr>
          <w:rFonts w:hint="eastAsia" w:ascii="黑体" w:hAnsi="黑体" w:eastAsia="黑体" w:cs="黑体"/>
          <w:sz w:val="32"/>
          <w:szCs w:val="32"/>
        </w:rPr>
        <w:t>《清远市“三线一单”生态环境分区管控方案》附表3环境管控单元生态环境准入清单更新调整</w:t>
      </w:r>
    </w:p>
    <w:bookmarkEnd w:id="1"/>
    <w:tbl>
      <w:tblPr>
        <w:tblStyle w:val="22"/>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112"/>
        <w:gridCol w:w="1635"/>
        <w:gridCol w:w="1071"/>
        <w:gridCol w:w="737"/>
        <w:gridCol w:w="3999"/>
        <w:gridCol w:w="48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blHeader/>
          <w:jc w:val="center"/>
        </w:trPr>
        <w:tc>
          <w:tcPr>
            <w:tcW w:w="257" w:type="pct"/>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bookmarkStart w:id="2" w:name="_Hlk116637049"/>
            <w:r>
              <w:rPr>
                <w:rFonts w:ascii="Times New Roman" w:hAnsi="Times New Roman" w:eastAsia="楷体_GB2312"/>
                <w:b/>
                <w:bCs/>
                <w:color w:val="000000"/>
                <w:kern w:val="0"/>
                <w:szCs w:val="24"/>
              </w:rPr>
              <w:t>序号</w:t>
            </w:r>
          </w:p>
        </w:tc>
        <w:tc>
          <w:tcPr>
            <w:tcW w:w="392" w:type="pct"/>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环境管控单元类型</w:t>
            </w:r>
          </w:p>
        </w:tc>
        <w:tc>
          <w:tcPr>
            <w:tcW w:w="577" w:type="pct"/>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环境管控单元编码</w:t>
            </w:r>
          </w:p>
        </w:tc>
        <w:tc>
          <w:tcPr>
            <w:tcW w:w="378" w:type="pct"/>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环境管控单元名称</w:t>
            </w:r>
          </w:p>
        </w:tc>
        <w:tc>
          <w:tcPr>
            <w:tcW w:w="260" w:type="pct"/>
            <w:vMerge w:val="restar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管控维度</w:t>
            </w:r>
          </w:p>
        </w:tc>
        <w:tc>
          <w:tcPr>
            <w:tcW w:w="3134" w:type="pct"/>
            <w:gridSpan w:val="2"/>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生态环境准入清单</w:t>
            </w:r>
          </w:p>
        </w:tc>
      </w:tr>
      <w:bookmarkEnd w:id="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blHeader/>
          <w:jc w:val="center"/>
        </w:trPr>
        <w:tc>
          <w:tcPr>
            <w:tcW w:w="257" w:type="pct"/>
            <w:vMerge w:val="continue"/>
            <w:vAlign w:val="center"/>
          </w:tcPr>
          <w:p>
            <w:pPr>
              <w:spacing w:line="240" w:lineRule="auto"/>
              <w:ind w:firstLine="0" w:firstLineChars="0"/>
              <w:jc w:val="center"/>
              <w:rPr>
                <w:rFonts w:ascii="Times New Roman" w:hAnsi="Times New Roman" w:eastAsia="楷体_GB2312"/>
                <w:b/>
                <w:bCs/>
                <w:color w:val="000000"/>
                <w:szCs w:val="24"/>
              </w:rPr>
            </w:pPr>
          </w:p>
        </w:tc>
        <w:tc>
          <w:tcPr>
            <w:tcW w:w="392" w:type="pct"/>
            <w:vMerge w:val="continue"/>
            <w:vAlign w:val="center"/>
          </w:tcPr>
          <w:p>
            <w:pPr>
              <w:spacing w:line="240" w:lineRule="auto"/>
              <w:ind w:firstLine="0" w:firstLineChars="0"/>
              <w:jc w:val="center"/>
              <w:rPr>
                <w:rFonts w:ascii="Times New Roman" w:hAnsi="Times New Roman" w:eastAsia="楷体_GB2312"/>
                <w:b/>
                <w:bCs/>
                <w:color w:val="000000"/>
                <w:szCs w:val="24"/>
              </w:rPr>
            </w:pPr>
          </w:p>
        </w:tc>
        <w:tc>
          <w:tcPr>
            <w:tcW w:w="577" w:type="pct"/>
            <w:vMerge w:val="continue"/>
            <w:vAlign w:val="center"/>
          </w:tcPr>
          <w:p>
            <w:pPr>
              <w:spacing w:line="240" w:lineRule="auto"/>
              <w:ind w:firstLine="0" w:firstLineChars="0"/>
              <w:jc w:val="center"/>
              <w:rPr>
                <w:rFonts w:ascii="Times New Roman" w:hAnsi="Times New Roman" w:eastAsia="楷体_GB2312"/>
                <w:b/>
                <w:bCs/>
                <w:color w:val="000000"/>
                <w:szCs w:val="24"/>
              </w:rPr>
            </w:pPr>
          </w:p>
        </w:tc>
        <w:tc>
          <w:tcPr>
            <w:tcW w:w="378" w:type="pct"/>
            <w:vMerge w:val="continue"/>
            <w:vAlign w:val="center"/>
          </w:tcPr>
          <w:p>
            <w:pPr>
              <w:spacing w:line="240" w:lineRule="auto"/>
              <w:ind w:firstLine="0" w:firstLineChars="0"/>
              <w:jc w:val="center"/>
              <w:rPr>
                <w:rFonts w:ascii="Times New Roman" w:hAnsi="Times New Roman" w:eastAsia="楷体_GB2312"/>
                <w:b/>
                <w:bCs/>
                <w:color w:val="000000"/>
                <w:szCs w:val="24"/>
              </w:rPr>
            </w:pPr>
          </w:p>
        </w:tc>
        <w:tc>
          <w:tcPr>
            <w:tcW w:w="260" w:type="pct"/>
            <w:vMerge w:val="continue"/>
            <w:vAlign w:val="center"/>
          </w:tcPr>
          <w:p>
            <w:pPr>
              <w:spacing w:line="240" w:lineRule="auto"/>
              <w:ind w:firstLine="0" w:firstLineChars="0"/>
              <w:jc w:val="center"/>
              <w:rPr>
                <w:rFonts w:ascii="Times New Roman" w:hAnsi="Times New Roman" w:eastAsia="楷体_GB2312"/>
                <w:b/>
                <w:bCs/>
                <w:color w:val="000000"/>
                <w:szCs w:val="24"/>
              </w:rPr>
            </w:pPr>
          </w:p>
        </w:tc>
        <w:tc>
          <w:tcPr>
            <w:tcW w:w="1411" w:type="pc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调整前</w:t>
            </w:r>
          </w:p>
        </w:tc>
        <w:tc>
          <w:tcPr>
            <w:tcW w:w="1723" w:type="pct"/>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rPr>
              <w:t>调整后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Times New Roman" w:hAnsi="Times New Roman" w:eastAsia="宋体"/>
                <w:color w:val="000000"/>
                <w:sz w:val="21"/>
                <w:szCs w:val="21"/>
              </w:rPr>
            </w:pPr>
            <w:r>
              <w:rPr>
                <w:rFonts w:hint="eastAsia" w:ascii="Times New Roman" w:hAnsi="Times New Roman" w:eastAsia="宋体"/>
                <w:color w:val="000000"/>
                <w:sz w:val="21"/>
                <w:szCs w:val="21"/>
              </w:rPr>
              <w:t>1</w:t>
            </w:r>
          </w:p>
        </w:tc>
        <w:tc>
          <w:tcPr>
            <w:tcW w:w="392"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sz w:val="21"/>
                <w:szCs w:val="21"/>
              </w:rPr>
            </w:pPr>
            <w:r>
              <w:rPr>
                <w:rFonts w:hint="eastAsia" w:ascii="楷体_GB2312" w:hAnsi="Times New Roman" w:eastAsia="楷体_GB2312"/>
                <w:color w:val="000000"/>
                <w:sz w:val="21"/>
                <w:szCs w:val="21"/>
              </w:rPr>
              <w:t>园区型重点管控单元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sz w:val="21"/>
                <w:szCs w:val="21"/>
              </w:rPr>
            </w:pPr>
            <w:r>
              <w:rPr>
                <w:rFonts w:hint="eastAsia" w:ascii="楷体_GB2312" w:hAnsi="Times New Roman" w:eastAsia="楷体_GB2312"/>
                <w:color w:val="000000"/>
                <w:kern w:val="0"/>
                <w:sz w:val="21"/>
                <w:szCs w:val="21"/>
              </w:rPr>
              <w:t>ZH44180220001</w:t>
            </w:r>
          </w:p>
        </w:tc>
        <w:tc>
          <w:tcPr>
            <w:tcW w:w="378"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sz w:val="21"/>
                <w:szCs w:val="21"/>
              </w:rPr>
            </w:pPr>
            <w:r>
              <w:rPr>
                <w:rFonts w:hint="eastAsia" w:ascii="楷体_GB2312" w:hAnsi="Times New Roman" w:eastAsia="楷体_GB2312"/>
                <w:color w:val="000000"/>
                <w:kern w:val="0"/>
                <w:sz w:val="21"/>
                <w:szCs w:val="21"/>
              </w:rPr>
              <w:t>广东清远高新技术产业开发区重点管控单元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区域布局管控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1-7.【大气/限制类】百嘉工业园片区，禁止新建、扩建制鞋、皮革、家具、工业涂装、油墨制造、包装印刷、制药、建材、水泥粉磨站项目，以及规划外的混凝土搅拌站、沥青搅拌站项目，限制新建、扩建涉及喷漆工序的汽车（摩托车）维修业、涉及喷涂工序的广告业等涉VOCs排放的低效产业项目，限制新建堆场沙场、加油站、大型货运停车场、裸地停车场、机动车检测站、机动车教练场等项目；限制餐饮单位使用木柴、木炭等非清洁能源作为燃料。严格限制玉石、石材加工项目。</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1-7.【大气/限制类】百嘉工业园片区，禁止新建、扩建制鞋、皮革、家具、工业涂装、油墨制造、包装印刷、制药、建材、水泥粉磨站项目，以及规划外的混凝土搅拌站、沥青搅拌站项目，限制新建、扩建涉及喷漆工序的汽车（摩托车）维修业、涉及喷涂工序的广告业等涉VOCs排放的</w:t>
            </w:r>
            <w:r>
              <w:rPr>
                <w:rFonts w:hint="eastAsia" w:ascii="楷体_GB2312" w:hAnsi="Times New Roman" w:eastAsia="楷体_GB2312"/>
                <w:kern w:val="0"/>
                <w:sz w:val="21"/>
                <w:szCs w:val="21"/>
              </w:rPr>
              <w:t>低效产业项目</w:t>
            </w:r>
            <w:r>
              <w:rPr>
                <w:rFonts w:hint="eastAsia" w:ascii="楷体_GB2312" w:hAnsi="Times New Roman" w:eastAsia="楷体_GB2312"/>
                <w:kern w:val="0"/>
                <w:sz w:val="21"/>
                <w:szCs w:val="21"/>
                <w:lang w:eastAsia="zh-CN"/>
              </w:rPr>
              <w:t>，</w:t>
            </w:r>
            <w:r>
              <w:rPr>
                <w:rFonts w:hint="eastAsia" w:ascii="楷体_GB2312" w:hAnsi="Times New Roman" w:eastAsia="楷体_GB2312"/>
                <w:b/>
                <w:bCs/>
                <w:kern w:val="0"/>
                <w:sz w:val="21"/>
                <w:szCs w:val="21"/>
                <w:u w:val="single"/>
              </w:rPr>
              <w:t>限制新建加油站、大型货运停车场、机动车检测站、机动车教练场等项目；现有上述类型工业企业匹配度最近两年评级均为A类的改扩建项目除外</w:t>
            </w:r>
            <w:r>
              <w:rPr>
                <w:rFonts w:hint="eastAsia" w:ascii="楷体_GB2312" w:hAnsi="Times New Roman" w:eastAsia="楷体_GB2312"/>
                <w:b/>
                <w:bCs/>
                <w:kern w:val="0"/>
                <w:sz w:val="21"/>
                <w:szCs w:val="21"/>
                <w:u w:val="single"/>
                <w:lang w:eastAsia="zh-CN"/>
              </w:rPr>
              <w:t>；</w:t>
            </w:r>
            <w:r>
              <w:rPr>
                <w:rFonts w:hint="eastAsia" w:ascii="楷体_GB2312" w:hAnsi="Times New Roman" w:eastAsia="楷体_GB2312"/>
                <w:kern w:val="0"/>
                <w:sz w:val="21"/>
                <w:szCs w:val="21"/>
              </w:rPr>
              <w:t>限制餐饮单位使用木柴、木炭等非清洁能源作为燃料</w:t>
            </w:r>
            <w:r>
              <w:rPr>
                <w:rFonts w:hint="eastAsia" w:ascii="楷体_GB2312" w:hAnsi="Times New Roman" w:eastAsia="楷体_GB2312"/>
                <w:kern w:val="0"/>
                <w:sz w:val="21"/>
                <w:szCs w:val="21"/>
                <w:lang w:eastAsia="zh-CN"/>
              </w:rPr>
              <w:t>；</w:t>
            </w:r>
            <w:r>
              <w:rPr>
                <w:rFonts w:hint="eastAsia" w:ascii="楷体_GB2312" w:hAnsi="Times New Roman" w:eastAsia="楷体_GB2312"/>
                <w:kern w:val="0"/>
                <w:sz w:val="21"/>
                <w:szCs w:val="21"/>
              </w:rPr>
              <w:t>严格限制玉石、石材加工项目</w:t>
            </w:r>
            <w:r>
              <w:rPr>
                <w:rFonts w:hint="eastAsia" w:ascii="楷体_GB2312" w:hAnsi="Times New Roman" w:eastAsia="楷体_GB2312"/>
                <w:kern w:val="0"/>
                <w:sz w:val="21"/>
                <w:szCs w:val="21"/>
                <w:lang w:eastAsia="zh-CN"/>
              </w:rPr>
              <w:t>；</w:t>
            </w:r>
            <w:r>
              <w:rPr>
                <w:rFonts w:hint="eastAsia" w:ascii="楷体_GB2312" w:hAnsi="Times New Roman" w:eastAsia="楷体_GB2312"/>
                <w:b/>
                <w:bCs/>
                <w:kern w:val="0"/>
                <w:sz w:val="21"/>
                <w:szCs w:val="21"/>
                <w:u w:val="single"/>
              </w:rPr>
              <w:t>禁止新建堆场沙场、裸地停车场项目。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20" w:hRule="atLeast"/>
          <w:jc w:val="center"/>
        </w:trPr>
        <w:tc>
          <w:tcPr>
            <w:tcW w:w="257" w:type="pct"/>
            <w:vAlign w:val="center"/>
          </w:tcPr>
          <w:p>
            <w:pPr>
              <w:spacing w:line="280" w:lineRule="exact"/>
              <w:ind w:firstLine="0" w:firstLineChars="0"/>
              <w:jc w:val="center"/>
              <w:rPr>
                <w:rFonts w:ascii="楷体_GB2312" w:hAnsi="Times New Roman" w:eastAsia="楷体_GB2312"/>
                <w:color w:val="000000"/>
                <w:kern w:val="0"/>
                <w:sz w:val="21"/>
                <w:szCs w:val="21"/>
              </w:rPr>
            </w:pPr>
            <w:r>
              <w:rPr>
                <w:rFonts w:ascii="楷体_GB2312" w:hAnsi="Times New Roman" w:eastAsia="楷体_GB2312"/>
                <w:color w:val="000000"/>
                <w:kern w:val="0"/>
                <w:sz w:val="21"/>
                <w:szCs w:val="21"/>
              </w:rPr>
              <w:t>2</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园区型重点管控单元</w:t>
            </w:r>
          </w:p>
        </w:tc>
        <w:tc>
          <w:tcPr>
            <w:tcW w:w="577" w:type="pct"/>
            <w:vAlign w:val="center"/>
          </w:tcPr>
          <w:p>
            <w:pPr>
              <w:widowControl/>
              <w:spacing w:line="280" w:lineRule="exact"/>
              <w:ind w:firstLine="0" w:firstLineChars="0"/>
              <w:jc w:val="center"/>
              <w:rPr>
                <w:rFonts w:ascii="楷体_GB2312" w:hAnsi="Times New Roman" w:eastAsia="楷体_GB2312"/>
                <w:color w:val="000000"/>
                <w:kern w:val="0"/>
                <w:sz w:val="21"/>
                <w:szCs w:val="21"/>
              </w:rPr>
            </w:pPr>
            <w:r>
              <w:rPr>
                <w:rFonts w:ascii="楷体_GB2312" w:hAnsi="Times New Roman" w:eastAsia="楷体_GB2312"/>
                <w:color w:val="000000"/>
                <w:kern w:val="0"/>
                <w:sz w:val="21"/>
                <w:szCs w:val="21"/>
              </w:rPr>
              <w:t>ZH44180220001</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广东清远高新技术产业开发区重点管控单元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区域布局管控</w:t>
            </w:r>
          </w:p>
        </w:tc>
        <w:tc>
          <w:tcPr>
            <w:tcW w:w="1411" w:type="pct"/>
            <w:vAlign w:val="center"/>
          </w:tcPr>
          <w:p>
            <w:pPr>
              <w:spacing w:line="280" w:lineRule="exact"/>
              <w:ind w:firstLine="0" w:firstLineChars="0"/>
              <w:jc w:val="both"/>
              <w:rPr>
                <w:rFonts w:ascii="楷体_GB2312" w:hAnsi="Times New Roman" w:eastAsia="楷体_GB2312"/>
                <w:color w:val="000000"/>
                <w:kern w:val="0"/>
                <w:sz w:val="21"/>
                <w:szCs w:val="21"/>
              </w:rPr>
            </w:pPr>
            <w:r>
              <w:rPr>
                <w:rFonts w:ascii="楷体_GB2312" w:hAnsi="Times New Roman" w:eastAsia="楷体_GB2312"/>
                <w:color w:val="000000"/>
                <w:kern w:val="0"/>
                <w:sz w:val="21"/>
                <w:szCs w:val="21"/>
              </w:rPr>
              <w:t>1-5.</w:t>
            </w:r>
            <w:r>
              <w:rPr>
                <w:rFonts w:hint="eastAsia" w:ascii="楷体_GB2312" w:hAnsi="Times New Roman" w:eastAsia="楷体_GB2312"/>
                <w:color w:val="000000"/>
                <w:kern w:val="0"/>
                <w:sz w:val="21"/>
                <w:szCs w:val="21"/>
              </w:rPr>
              <w:t>【产业</w:t>
            </w:r>
            <w:r>
              <w:rPr>
                <w:rFonts w:ascii="楷体_GB2312" w:hAnsi="Times New Roman" w:eastAsia="楷体_GB2312"/>
                <w:color w:val="000000"/>
                <w:kern w:val="0"/>
                <w:sz w:val="21"/>
                <w:szCs w:val="21"/>
              </w:rPr>
              <w:t>/</w:t>
            </w:r>
            <w:r>
              <w:rPr>
                <w:rFonts w:hint="eastAsia" w:ascii="楷体_GB2312" w:hAnsi="Times New Roman" w:eastAsia="楷体_GB2312"/>
                <w:color w:val="000000"/>
                <w:kern w:val="0"/>
                <w:sz w:val="21"/>
                <w:szCs w:val="21"/>
              </w:rPr>
              <w:t>禁止类】禁止新建陶瓷（新型特种陶瓷项目除外）、化工及危化品储存、铅酸蓄电池、印染、造纸等项目；禁止新建、扩建废轮胎、废弃电器电子产品、废电（线）路板、废五金（进口）、废塑料、废橡胶、废纸加工利用、废覆铜板等废旧资源综合利用项目；禁止新建、扩建专业电镀、鞣革、人造革项目；禁止增加铅污染物排放的项目。</w:t>
            </w:r>
          </w:p>
        </w:tc>
        <w:tc>
          <w:tcPr>
            <w:tcW w:w="1723" w:type="pct"/>
            <w:vAlign w:val="center"/>
          </w:tcPr>
          <w:p>
            <w:pPr>
              <w:spacing w:line="280" w:lineRule="exact"/>
              <w:ind w:firstLine="0" w:firstLineChars="0"/>
              <w:jc w:val="both"/>
              <w:rPr>
                <w:rFonts w:ascii="楷体_GB2312" w:hAnsi="Times New Roman" w:eastAsia="楷体_GB2312"/>
                <w:kern w:val="0"/>
                <w:sz w:val="21"/>
                <w:szCs w:val="21"/>
              </w:rPr>
            </w:pPr>
            <w:r>
              <w:rPr>
                <w:rFonts w:ascii="楷体_GB2312" w:hAnsi="Times New Roman" w:eastAsia="楷体_GB2312"/>
                <w:kern w:val="0"/>
                <w:sz w:val="21"/>
                <w:szCs w:val="21"/>
              </w:rPr>
              <w:t>1-5.</w:t>
            </w:r>
            <w:r>
              <w:rPr>
                <w:rFonts w:hint="eastAsia" w:ascii="楷体_GB2312" w:hAnsi="Times New Roman" w:eastAsia="楷体_GB2312"/>
                <w:kern w:val="0"/>
                <w:sz w:val="21"/>
                <w:szCs w:val="21"/>
              </w:rPr>
              <w:t>【产业</w:t>
            </w:r>
            <w:r>
              <w:rPr>
                <w:rFonts w:ascii="楷体_GB2312" w:hAnsi="Times New Roman" w:eastAsia="楷体_GB2312"/>
                <w:kern w:val="0"/>
                <w:sz w:val="21"/>
                <w:szCs w:val="21"/>
              </w:rPr>
              <w:t>/</w:t>
            </w:r>
            <w:r>
              <w:rPr>
                <w:rFonts w:hint="eastAsia" w:ascii="楷体_GB2312" w:hAnsi="Times New Roman" w:eastAsia="楷体_GB2312"/>
                <w:kern w:val="0"/>
                <w:sz w:val="21"/>
                <w:szCs w:val="21"/>
              </w:rPr>
              <w:t>禁止类】禁止新建陶瓷（新型特种陶瓷项目除外）、化工及危化品储存、铅酸蓄电池、印染、造纸等项目；禁止新建、扩建废轮胎、废弃电器电子产品、废电（线）路板、废五金（进口）、废塑料、废橡胶、废纸加工利用、废覆铜板等废旧资源综合利用项目；禁止新建、扩建专业电镀、鞣革、人造革项目；禁止增加铅污染物排放的项目；</w:t>
            </w:r>
            <w:r>
              <w:rPr>
                <w:rFonts w:hint="eastAsia" w:ascii="楷体_GB2312" w:hAnsi="Times New Roman" w:eastAsia="楷体_GB2312"/>
                <w:b/>
                <w:bCs/>
                <w:kern w:val="0"/>
                <w:sz w:val="21"/>
                <w:szCs w:val="21"/>
                <w:u w:val="single"/>
              </w:rPr>
              <w:t>禁止新建、改建、扩建使用再生料为原料的塑料制品行业。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45"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Times New Roman" w:hAnsi="Times New Roman" w:eastAsia="宋体"/>
                <w:color w:val="000000"/>
                <w:sz w:val="21"/>
                <w:szCs w:val="21"/>
              </w:rPr>
            </w:pPr>
            <w:r>
              <w:rPr>
                <w:rFonts w:ascii="Times New Roman" w:hAnsi="Times New Roman" w:eastAsia="宋体"/>
                <w:color w:val="000000"/>
                <w:sz w:val="21"/>
                <w:szCs w:val="21"/>
              </w:rPr>
              <w:t>3</w:t>
            </w:r>
          </w:p>
        </w:tc>
        <w:tc>
          <w:tcPr>
            <w:tcW w:w="392"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sz w:val="21"/>
                <w:szCs w:val="21"/>
              </w:rPr>
            </w:pPr>
            <w:r>
              <w:rPr>
                <w:rFonts w:hint="eastAsia" w:ascii="楷体_GB2312" w:hAnsi="Times New Roman" w:eastAsia="楷体_GB2312"/>
                <w:color w:val="000000"/>
                <w:sz w:val="21"/>
                <w:szCs w:val="21"/>
              </w:rPr>
              <w:t>重点管控单元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kern w:val="0"/>
                <w:sz w:val="21"/>
                <w:szCs w:val="21"/>
              </w:rPr>
            </w:pPr>
            <w:r>
              <w:rPr>
                <w:rFonts w:hint="eastAsia" w:ascii="楷体_GB2312" w:hAnsi="Times New Roman" w:eastAsia="楷体_GB2312"/>
                <w:kern w:val="0"/>
                <w:sz w:val="21"/>
                <w:szCs w:val="21"/>
              </w:rPr>
              <w:t>ZH44180220001等单元</w:t>
            </w:r>
            <w:r>
              <w:rPr>
                <w:rFonts w:hint="eastAsia" w:ascii="楷体_GB2312" w:hAnsi="Times New Roman" w:eastAsia="楷体_GB2312"/>
                <w:b/>
                <w:bCs/>
                <w:kern w:val="0"/>
                <w:sz w:val="21"/>
                <w:szCs w:val="21"/>
              </w:rPr>
              <w:t>（共涉及35个单元）</w:t>
            </w:r>
          </w:p>
        </w:tc>
        <w:tc>
          <w:tcPr>
            <w:tcW w:w="378"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kern w:val="0"/>
                <w:sz w:val="21"/>
                <w:szCs w:val="21"/>
              </w:rPr>
            </w:pPr>
            <w:r>
              <w:rPr>
                <w:rFonts w:hint="eastAsia" w:ascii="楷体_GB2312" w:hAnsi="Times New Roman" w:eastAsia="楷体_GB2312"/>
                <w:kern w:val="0"/>
                <w:sz w:val="21"/>
                <w:szCs w:val="21"/>
              </w:rPr>
              <w:t>广东清远高新技术产业</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b/>
                <w:bCs/>
                <w:kern w:val="0"/>
                <w:sz w:val="21"/>
                <w:szCs w:val="21"/>
              </w:rPr>
            </w:pPr>
            <w:r>
              <w:rPr>
                <w:rFonts w:hint="eastAsia" w:ascii="楷体_GB2312" w:hAnsi="Times New Roman" w:eastAsia="楷体_GB2312"/>
                <w:kern w:val="0"/>
                <w:sz w:val="21"/>
                <w:szCs w:val="21"/>
              </w:rPr>
              <w:t>开发区重点管控单元等单元</w:t>
            </w:r>
            <w:r>
              <w:rPr>
                <w:rFonts w:hint="eastAsia" w:ascii="楷体_GB2312" w:hAnsi="Times New Roman" w:eastAsia="楷体_GB2312"/>
                <w:b/>
                <w:bCs/>
                <w:kern w:val="0"/>
                <w:sz w:val="21"/>
                <w:szCs w:val="21"/>
              </w:rPr>
              <w:t>（共涉及35个单元）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kern w:val="0"/>
                <w:sz w:val="21"/>
                <w:szCs w:val="21"/>
              </w:rPr>
            </w:pPr>
            <w:r>
              <w:rPr>
                <w:rFonts w:hint="eastAsia" w:ascii="楷体_GB2312" w:hAnsi="Times New Roman" w:eastAsia="楷体_GB2312"/>
                <w:kern w:val="0"/>
                <w:sz w:val="21"/>
                <w:szCs w:val="21"/>
              </w:rPr>
              <w:t>区域布局管控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kern w:val="0"/>
                <w:sz w:val="21"/>
                <w:szCs w:val="21"/>
              </w:rPr>
            </w:pPr>
            <w:r>
              <w:rPr>
                <w:rFonts w:hint="eastAsia" w:ascii="楷体_GB2312" w:hAnsi="Times New Roman" w:eastAsia="楷体_GB2312"/>
                <w:kern w:val="0"/>
                <w:sz w:val="21"/>
                <w:szCs w:val="21"/>
              </w:rPr>
              <w:t>/</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b/>
                <w:bCs/>
                <w:kern w:val="0"/>
                <w:sz w:val="21"/>
                <w:szCs w:val="21"/>
              </w:rPr>
            </w:pPr>
            <w:r>
              <w:rPr>
                <w:rFonts w:hint="eastAsia" w:ascii="楷体_GB2312" w:hAnsi="Times New Roman" w:eastAsia="楷体_GB2312"/>
                <w:b/>
                <w:bCs/>
                <w:kern w:val="0"/>
                <w:sz w:val="21"/>
                <w:szCs w:val="21"/>
              </w:rPr>
              <w:t>新增：</w:t>
            </w:r>
          </w:p>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kern w:val="0"/>
                <w:sz w:val="21"/>
                <w:szCs w:val="21"/>
              </w:rPr>
            </w:pPr>
            <w:r>
              <w:rPr>
                <w:rFonts w:hint="eastAsia" w:ascii="楷体_GB2312" w:hAnsi="Times New Roman" w:eastAsia="楷体_GB2312"/>
                <w:b/>
                <w:bCs/>
                <w:kern w:val="0"/>
                <w:sz w:val="21"/>
                <w:szCs w:val="21"/>
                <w:u w:val="single"/>
              </w:rPr>
              <w:t>【产业/鼓励引导类】鼓励清远市辖区内工业企业入园发展，迁建入园的工业企业匹配度需达到A类或B类且与园区产业方向不冲突。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40"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4</w:t>
            </w:r>
          </w:p>
        </w:tc>
        <w:tc>
          <w:tcPr>
            <w:tcW w:w="392"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kern w:val="0"/>
                <w:sz w:val="21"/>
                <w:szCs w:val="21"/>
              </w:rPr>
            </w:pPr>
            <w:r>
              <w:rPr>
                <w:rFonts w:hint="eastAsia" w:ascii="楷体_GB2312" w:hAnsi="Times New Roman" w:eastAsia="楷体_GB2312"/>
                <w:kern w:val="0"/>
                <w:sz w:val="21"/>
                <w:szCs w:val="21"/>
              </w:rPr>
              <w:t>园区型重点管控单元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kern w:val="0"/>
                <w:sz w:val="21"/>
                <w:szCs w:val="21"/>
              </w:rPr>
            </w:pPr>
            <w:r>
              <w:rPr>
                <w:rFonts w:ascii="楷体_GB2312" w:hAnsi="Times New Roman" w:eastAsia="楷体_GB2312"/>
                <w:kern w:val="0"/>
                <w:sz w:val="21"/>
                <w:szCs w:val="21"/>
              </w:rPr>
              <w:t>ZH44180320001</w:t>
            </w:r>
          </w:p>
        </w:tc>
        <w:tc>
          <w:tcPr>
            <w:tcW w:w="378"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kern w:val="0"/>
                <w:sz w:val="21"/>
                <w:szCs w:val="21"/>
              </w:rPr>
            </w:pPr>
            <w:r>
              <w:rPr>
                <w:rFonts w:hint="eastAsia" w:ascii="楷体_GB2312" w:hAnsi="Times New Roman" w:eastAsia="楷体_GB2312"/>
                <w:kern w:val="0"/>
                <w:sz w:val="21"/>
                <w:szCs w:val="21"/>
              </w:rPr>
              <w:t>广州花都（清新）产业转移工业园重点管控单元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区域布局管控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kern w:val="0"/>
                <w:sz w:val="21"/>
                <w:szCs w:val="21"/>
              </w:rPr>
            </w:pPr>
            <w:r>
              <w:rPr>
                <w:rFonts w:hint="eastAsia" w:ascii="楷体_GB2312" w:hAnsi="Times New Roman" w:eastAsia="楷体_GB2312"/>
                <w:kern w:val="0"/>
                <w:sz w:val="21"/>
                <w:szCs w:val="21"/>
              </w:rPr>
              <w:t>1-1.【产业/禁止类】禁止新建陶瓷（新型特种陶瓷项目除外）、专业电镀、化工及危化品储存、铅酸蓄电池、鞣革、印染、造纸等项目；禁止新建、扩建废轮胎、废弃电器电子产品、废电（线）路板、废五金（进口）、废塑料、废橡胶、废纸加工利用、废覆铜板等废旧资源综合利用项目；禁止新建、扩建人造革项目。</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b/>
                <w:bCs/>
                <w:kern w:val="0"/>
                <w:sz w:val="21"/>
                <w:szCs w:val="21"/>
              </w:rPr>
            </w:pPr>
            <w:r>
              <w:rPr>
                <w:rFonts w:hint="eastAsia" w:ascii="楷体_GB2312" w:hAnsi="Times New Roman" w:eastAsia="楷体_GB2312"/>
                <w:b/>
                <w:bCs/>
                <w:kern w:val="0"/>
                <w:sz w:val="21"/>
                <w:szCs w:val="21"/>
              </w:rPr>
              <w:t>修改：</w:t>
            </w:r>
          </w:p>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kern w:val="0"/>
                <w:sz w:val="21"/>
                <w:szCs w:val="21"/>
              </w:rPr>
            </w:pPr>
            <w:r>
              <w:rPr>
                <w:rFonts w:hint="eastAsia" w:ascii="楷体_GB2312" w:hAnsi="Times New Roman" w:eastAsia="楷体_GB2312"/>
                <w:kern w:val="0"/>
                <w:sz w:val="21"/>
                <w:szCs w:val="21"/>
              </w:rPr>
              <w:t>1-1.【产业/禁止类】禁止新建陶瓷（新型特种陶瓷项目除外</w:t>
            </w:r>
            <w:r>
              <w:rPr>
                <w:rFonts w:hint="eastAsia" w:ascii="楷体_GB2312" w:hAnsi="Times New Roman" w:eastAsia="楷体_GB2312"/>
                <w:b/>
                <w:bCs/>
                <w:kern w:val="0"/>
                <w:sz w:val="21"/>
                <w:szCs w:val="21"/>
              </w:rPr>
              <w:t>）</w:t>
            </w:r>
            <w:r>
              <w:rPr>
                <w:rFonts w:hint="eastAsia" w:ascii="楷体_GB2312" w:hAnsi="Times New Roman" w:eastAsia="楷体_GB2312"/>
                <w:kern w:val="0"/>
                <w:sz w:val="21"/>
                <w:szCs w:val="21"/>
              </w:rPr>
              <w:t>、专业电镀、化工及危化品储存、铅酸蓄电池、鞣革、印染、造纸等项目；禁止新建、扩建废轮胎、废弃电器电子产品、废电（线）路板、废五金（进口）、废塑料、废橡胶、废纸加工利用、废覆铜板等废旧资源综合利用项目；禁止新建、扩建人造革项目。</w:t>
            </w:r>
            <w:r>
              <w:rPr>
                <w:rFonts w:hint="eastAsia" w:ascii="楷体_GB2312" w:hAnsi="Times New Roman" w:eastAsia="楷体_GB2312"/>
                <w:b/>
                <w:bCs/>
                <w:kern w:val="0"/>
                <w:sz w:val="21"/>
                <w:szCs w:val="21"/>
                <w:u w:val="single"/>
              </w:rPr>
              <w:t>清远市辖区内满足1</w:t>
            </w:r>
            <w:r>
              <w:rPr>
                <w:rFonts w:ascii="楷体_GB2312" w:hAnsi="Times New Roman" w:eastAsia="楷体_GB2312"/>
                <w:b/>
                <w:bCs/>
                <w:kern w:val="0"/>
                <w:sz w:val="21"/>
                <w:szCs w:val="21"/>
                <w:u w:val="single"/>
              </w:rPr>
              <w:t>-4</w:t>
            </w:r>
            <w:r>
              <w:rPr>
                <w:rFonts w:hint="eastAsia" w:ascii="楷体_GB2312" w:hAnsi="Times New Roman" w:eastAsia="楷体_GB2312"/>
                <w:b/>
                <w:bCs/>
                <w:kern w:val="0"/>
                <w:sz w:val="21"/>
                <w:szCs w:val="21"/>
                <w:u w:val="single"/>
              </w:rPr>
              <w:t>【产业/鼓励引导类】的迁建项目除外。</w:t>
            </w:r>
          </w:p>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kern w:val="0"/>
                <w:sz w:val="21"/>
                <w:szCs w:val="21"/>
              </w:rPr>
            </w:pPr>
          </w:p>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b/>
                <w:bCs/>
                <w:kern w:val="0"/>
                <w:sz w:val="21"/>
                <w:szCs w:val="21"/>
                <w:u w:val="single"/>
              </w:rPr>
            </w:pPr>
            <w:r>
              <w:rPr>
                <w:rFonts w:hint="eastAsia" w:ascii="楷体_GB2312" w:hAnsi="Times New Roman" w:eastAsia="楷体_GB2312"/>
                <w:b/>
                <w:bCs/>
                <w:kern w:val="0"/>
                <w:sz w:val="21"/>
                <w:szCs w:val="21"/>
              </w:rPr>
              <w:t>新增：</w:t>
            </w:r>
          </w:p>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b/>
                <w:bCs/>
                <w:kern w:val="0"/>
                <w:sz w:val="21"/>
                <w:szCs w:val="21"/>
              </w:rPr>
            </w:pPr>
            <w:r>
              <w:rPr>
                <w:rFonts w:hint="eastAsia" w:ascii="楷体_GB2312" w:hAnsi="Times New Roman" w:eastAsia="楷体_GB2312"/>
                <w:b/>
                <w:bCs/>
                <w:kern w:val="0"/>
                <w:sz w:val="21"/>
                <w:szCs w:val="21"/>
                <w:u w:val="single"/>
              </w:rPr>
              <w:t>1-4.【产业/鼓励引导类】鼓励清远市辖区内工业企业入园发展，迁建入园的工业企业匹配度需达到A类或B类、与园区产业方向不冲突且不增加园区陶瓷生产线。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5"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5</w:t>
            </w:r>
          </w:p>
        </w:tc>
        <w:tc>
          <w:tcPr>
            <w:tcW w:w="392"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sz w:val="21"/>
                <w:szCs w:val="21"/>
              </w:rPr>
            </w:pPr>
            <w:r>
              <w:rPr>
                <w:rFonts w:hint="eastAsia" w:ascii="楷体_GB2312" w:hAnsi="Times New Roman" w:eastAsia="楷体_GB2312"/>
                <w:color w:val="000000"/>
                <w:kern w:val="0"/>
                <w:sz w:val="21"/>
                <w:szCs w:val="21"/>
                <w:lang w:bidi="ar"/>
              </w:rPr>
              <w:t>园区型重点管控单元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lang w:bidi="ar"/>
              </w:rPr>
              <w:t>ZH44180220002</w:t>
            </w:r>
          </w:p>
        </w:tc>
        <w:tc>
          <w:tcPr>
            <w:tcW w:w="378"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lang w:bidi="ar"/>
              </w:rPr>
              <w:t>广州（清远）产业转移工业园重点管控单元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污染物排放管控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3-6.【大气/限制类】规划环评审查意见核定园区范围内污染物排放总量控制值为：二氧化硫94.06t/a；氮氧化物232.32t/a；VOCs157.6276t/a。</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3-6.【大气/限制类】规划环评审查意见核定</w:t>
            </w:r>
            <w:r>
              <w:rPr>
                <w:rFonts w:hint="eastAsia" w:ascii="楷体_GB2312" w:hAnsi="Times New Roman" w:eastAsia="楷体_GB2312"/>
                <w:b/>
                <w:bCs/>
                <w:color w:val="000000"/>
                <w:kern w:val="0"/>
                <w:sz w:val="21"/>
                <w:szCs w:val="21"/>
                <w:u w:val="single"/>
              </w:rPr>
              <w:t>广清产业园A区污染物排放总量控制值为：二氧化硫23.64t/a，氮氧化物136.67t/a，VOCs136.2234t/a；扩园污染物排放总量控制值为：二氧化硫4.68t/a，氮氧化物43.13t/a，VOCs88.5076t/a（函括非甲烷总烃总量指标）。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75"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6</w:t>
            </w:r>
          </w:p>
        </w:tc>
        <w:tc>
          <w:tcPr>
            <w:tcW w:w="392"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园区型重点管控单元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ZH44182120001</w:t>
            </w:r>
          </w:p>
        </w:tc>
        <w:tc>
          <w:tcPr>
            <w:tcW w:w="378"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佛冈产业转移工业园重点管控单元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区域布局管控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1-1.【产业/鼓励引导类】佛冈县产业集聚地以食品饮料、电子信息以及通用装备制造三大产业为支柱，同时集聚发展通用装备制造相关的空调制冷设备、汽车摩托车配件制造等产业，重点发展高新技术产业。</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rPr>
            </w:pPr>
            <w:r>
              <w:rPr>
                <w:rFonts w:hint="eastAsia" w:ascii="楷体_GB2312" w:hAnsi="Times New Roman" w:eastAsia="楷体_GB2312"/>
                <w:color w:val="000000"/>
                <w:kern w:val="0"/>
                <w:sz w:val="21"/>
                <w:szCs w:val="21"/>
              </w:rPr>
              <w:t>1-1.【产业/鼓励引导类】</w:t>
            </w:r>
            <w:r>
              <w:rPr>
                <w:rFonts w:hint="eastAsia" w:ascii="楷体_GB2312" w:hAnsi="Times New Roman" w:eastAsia="楷体_GB2312"/>
                <w:b/>
                <w:bCs/>
                <w:color w:val="000000"/>
                <w:kern w:val="0"/>
                <w:sz w:val="21"/>
                <w:szCs w:val="21"/>
                <w:u w:val="single"/>
              </w:rPr>
              <w:t>园区以装备制造、电子信息、新材料、生物医药与健康“3+1”为主导产业，辅以仓储物流、新能源、时尚产业。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60"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7</w:t>
            </w:r>
          </w:p>
        </w:tc>
        <w:tc>
          <w:tcPr>
            <w:tcW w:w="392"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园区型重点管控单元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ZH44182120007</w:t>
            </w:r>
          </w:p>
        </w:tc>
        <w:tc>
          <w:tcPr>
            <w:tcW w:w="378"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佛冈县汤塘镇重点管控单元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3-1.【水/综合类】加快汤塘镇镇区、广佛（佛冈）产业园、佛冈县聚宝B区产业园、三井工业园等工业集聚区污水配套管网建设，推进污水处理设施提质增效，推动污水处理量及入口污染物浓度“双提升”。</w:t>
            </w:r>
            <w:bookmarkStart w:id="3" w:name="_GoBack"/>
            <w:bookmarkEnd w:id="3"/>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3-1.【水/综合类】加快汤塘镇镇区、广佛（佛冈）产业园、佛冈县聚宝B区产业园、</w:t>
            </w:r>
            <w:r>
              <w:rPr>
                <w:rFonts w:hint="eastAsia" w:ascii="楷体_GB2312" w:hAnsi="Times New Roman" w:eastAsia="楷体_GB2312"/>
                <w:b/>
                <w:bCs/>
                <w:color w:val="000000"/>
                <w:kern w:val="0"/>
                <w:sz w:val="21"/>
                <w:szCs w:val="21"/>
                <w:u w:val="single"/>
                <w:lang w:bidi="ar"/>
              </w:rPr>
              <w:t>佛冈县大湾区生命科技园</w:t>
            </w:r>
            <w:r>
              <w:rPr>
                <w:rFonts w:hint="eastAsia" w:ascii="楷体_GB2312" w:hAnsi="Times New Roman" w:eastAsia="楷体_GB2312"/>
                <w:color w:val="000000"/>
                <w:kern w:val="0"/>
                <w:sz w:val="21"/>
                <w:szCs w:val="21"/>
                <w:lang w:bidi="ar"/>
              </w:rPr>
              <w:t>等工业集聚区污水配套管网建设，推进污水处理设施提质增效，推动污水处理量及入口污染物浓度“双提升”。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5"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8</w:t>
            </w:r>
          </w:p>
        </w:tc>
        <w:tc>
          <w:tcPr>
            <w:tcW w:w="392"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一般管控单元</w:t>
            </w:r>
          </w:p>
        </w:tc>
        <w:tc>
          <w:tcPr>
            <w:tcW w:w="577"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ZH44182130006</w:t>
            </w:r>
          </w:p>
        </w:tc>
        <w:tc>
          <w:tcPr>
            <w:tcW w:w="378" w:type="pc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佛冈县汤塘镇一般管控单元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3-1.【水/综合类】加快汤塘镇镇区、广佛（佛冈）产业园、佛冈县聚宝B区产业园、三井工业园等工业集聚区污水配套管网建设，推进污水处理设施提质增效，推动污水处理量及入口污染物浓度“双提升”。</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3-1.【水/综合类】加快汤塘镇镇区、广佛（佛冈）产业园、佛冈县聚宝B区产业园、</w:t>
            </w:r>
            <w:r>
              <w:rPr>
                <w:rFonts w:hint="eastAsia" w:ascii="楷体_GB2312" w:hAnsi="Times New Roman" w:eastAsia="楷体_GB2312"/>
                <w:b/>
                <w:bCs/>
                <w:color w:val="000000"/>
                <w:kern w:val="0"/>
                <w:sz w:val="21"/>
                <w:szCs w:val="21"/>
                <w:u w:val="single"/>
                <w:lang w:bidi="ar"/>
              </w:rPr>
              <w:t>佛冈县大湾区生命科技园</w:t>
            </w:r>
            <w:r>
              <w:rPr>
                <w:rFonts w:hint="eastAsia" w:ascii="楷体_GB2312" w:hAnsi="Times New Roman" w:eastAsia="楷体_GB2312"/>
                <w:color w:val="000000"/>
                <w:kern w:val="0"/>
                <w:sz w:val="21"/>
                <w:szCs w:val="21"/>
                <w:lang w:bidi="ar"/>
              </w:rPr>
              <w:t>等工业集聚区污水配套管网建设，推进污水处理设施提质增效，推动污水处理量及入口污染物浓度“双提升”。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70" w:hRule="atLeast"/>
          <w:jc w:val="center"/>
        </w:trPr>
        <w:tc>
          <w:tcPr>
            <w:tcW w:w="25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Times New Roman" w:hAnsi="Times New Roman" w:eastAsia="宋体"/>
                <w:color w:val="000000"/>
                <w:sz w:val="21"/>
                <w:szCs w:val="21"/>
              </w:rPr>
            </w:pPr>
            <w:r>
              <w:rPr>
                <w:rFonts w:hint="eastAsia" w:ascii="Times New Roman" w:hAnsi="Times New Roman" w:eastAsia="宋体"/>
                <w:color w:val="000000"/>
                <w:sz w:val="21"/>
                <w:szCs w:val="21"/>
              </w:rPr>
              <w:t>9</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ZH44180220007</w:t>
            </w:r>
          </w:p>
        </w:tc>
        <w:tc>
          <w:tcPr>
            <w:tcW w:w="378"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清城区源潭镇重点管控单元</w:t>
            </w:r>
          </w:p>
        </w:tc>
        <w:tc>
          <w:tcPr>
            <w:tcW w:w="26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kern w:val="0"/>
                <w:sz w:val="21"/>
                <w:szCs w:val="21"/>
                <w:lang w:bidi="ar"/>
              </w:rPr>
            </w:pPr>
            <w:r>
              <w:rPr>
                <w:rFonts w:ascii="楷体_GB2312" w:hAnsi="Times New Roman" w:eastAsia="楷体_GB2312"/>
                <w:kern w:val="0"/>
                <w:sz w:val="21"/>
                <w:szCs w:val="21"/>
                <w:lang w:bidi="ar"/>
              </w:rPr>
              <w:t>/</w:t>
            </w:r>
          </w:p>
        </w:tc>
        <w:tc>
          <w:tcPr>
            <w:tcW w:w="1723"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kern w:val="0"/>
                <w:sz w:val="21"/>
                <w:szCs w:val="21"/>
                <w:lang w:bidi="ar"/>
              </w:rPr>
            </w:pPr>
            <w:r>
              <w:rPr>
                <w:rFonts w:hint="eastAsia" w:ascii="楷体_GB2312" w:hAnsi="Times New Roman" w:eastAsia="楷体_GB2312"/>
                <w:b/>
                <w:bCs/>
                <w:kern w:val="0"/>
                <w:sz w:val="21"/>
                <w:szCs w:val="21"/>
                <w:lang w:bidi="ar"/>
              </w:rPr>
              <w:t>新增：</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kern w:val="0"/>
                <w:sz w:val="21"/>
                <w:szCs w:val="21"/>
                <w:lang w:bidi="ar"/>
              </w:rPr>
            </w:pPr>
            <w:r>
              <w:rPr>
                <w:rFonts w:ascii="Times New Roman" w:hAnsi="Times New Roman" w:eastAsia="仿宋_GB2312"/>
                <w:b/>
                <w:bCs/>
                <w:kern w:val="0"/>
                <w:sz w:val="21"/>
                <w:szCs w:val="21"/>
                <w:u w:val="single"/>
              </w:rPr>
              <w:t>3-12.【大气/鼓励引导类】</w:t>
            </w:r>
            <w:r>
              <w:rPr>
                <w:rFonts w:hint="eastAsia" w:ascii="楷体_GB2312" w:hAnsi="Times New Roman" w:eastAsia="楷体_GB2312"/>
                <w:b/>
                <w:bCs/>
                <w:kern w:val="0"/>
                <w:sz w:val="21"/>
                <w:szCs w:val="21"/>
                <w:u w:val="single"/>
                <w:lang w:bidi="ar"/>
              </w:rPr>
              <w:t>推广涉VOCs“绿岛”项目建设。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5" w:hRule="atLeast"/>
          <w:jc w:val="center"/>
        </w:trPr>
        <w:tc>
          <w:tcPr>
            <w:tcW w:w="25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Times New Roman" w:hAnsi="Times New Roman" w:eastAsia="宋体"/>
                <w:color w:val="000000"/>
                <w:sz w:val="21"/>
                <w:szCs w:val="21"/>
              </w:rPr>
            </w:pPr>
            <w:r>
              <w:rPr>
                <w:rFonts w:hint="eastAsia" w:ascii="Times New Roman" w:hAnsi="Times New Roman" w:eastAsia="宋体"/>
                <w:color w:val="000000"/>
                <w:sz w:val="21"/>
                <w:szCs w:val="21"/>
              </w:rPr>
              <w:t>10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ZH44180220011</w:t>
            </w:r>
          </w:p>
        </w:tc>
        <w:tc>
          <w:tcPr>
            <w:tcW w:w="378"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清城区石角镇重点管控单元</w:t>
            </w:r>
          </w:p>
        </w:tc>
        <w:tc>
          <w:tcPr>
            <w:tcW w:w="26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kern w:val="0"/>
                <w:sz w:val="21"/>
                <w:szCs w:val="21"/>
                <w:lang w:bidi="ar"/>
              </w:rPr>
            </w:pPr>
            <w:r>
              <w:rPr>
                <w:rFonts w:ascii="楷体_GB2312" w:hAnsi="Times New Roman" w:eastAsia="楷体_GB2312"/>
                <w:kern w:val="0"/>
                <w:sz w:val="21"/>
                <w:szCs w:val="21"/>
                <w:lang w:bidi="ar"/>
              </w:rPr>
              <w:t>/</w:t>
            </w:r>
          </w:p>
        </w:tc>
        <w:tc>
          <w:tcPr>
            <w:tcW w:w="1723"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b/>
                <w:bCs/>
                <w:kern w:val="0"/>
                <w:sz w:val="21"/>
                <w:szCs w:val="21"/>
                <w:lang w:bidi="ar"/>
              </w:rPr>
            </w:pPr>
            <w:r>
              <w:rPr>
                <w:rFonts w:hint="eastAsia" w:ascii="楷体_GB2312" w:hAnsi="Times New Roman" w:eastAsia="楷体_GB2312"/>
                <w:b/>
                <w:bCs/>
                <w:kern w:val="0"/>
                <w:sz w:val="21"/>
                <w:szCs w:val="21"/>
                <w:lang w:bidi="ar"/>
              </w:rPr>
              <w:t>新增：</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楷体_GB2312" w:hAnsi="Times New Roman" w:eastAsia="楷体_GB2312"/>
                <w:kern w:val="0"/>
                <w:sz w:val="21"/>
                <w:szCs w:val="21"/>
                <w:lang w:eastAsia="zh-CN" w:bidi="ar"/>
              </w:rPr>
            </w:pPr>
            <w:r>
              <w:rPr>
                <w:rFonts w:ascii="Times New Roman" w:hAnsi="Times New Roman" w:eastAsia="仿宋_GB2312"/>
                <w:b/>
                <w:bCs/>
                <w:kern w:val="0"/>
                <w:sz w:val="21"/>
                <w:szCs w:val="21"/>
                <w:u w:val="single"/>
              </w:rPr>
              <w:t>3-11.【大气/鼓励引导类】</w:t>
            </w:r>
            <w:r>
              <w:rPr>
                <w:rFonts w:hint="eastAsia" w:ascii="楷体_GB2312" w:hAnsi="Times New Roman" w:eastAsia="楷体_GB2312"/>
                <w:b/>
                <w:bCs/>
                <w:kern w:val="0"/>
                <w:sz w:val="21"/>
                <w:szCs w:val="21"/>
                <w:u w:val="single"/>
                <w:lang w:bidi="ar"/>
              </w:rPr>
              <w:t>推广涉VOCs“绿岛”项目建设</w:t>
            </w:r>
            <w:r>
              <w:rPr>
                <w:rFonts w:hint="eastAsia" w:ascii="楷体_GB2312" w:hAnsi="Times New Roman" w:eastAsia="楷体_GB2312"/>
                <w:b/>
                <w:bCs/>
                <w:kern w:val="0"/>
                <w:sz w:val="21"/>
                <w:szCs w:val="21"/>
                <w:u w:val="single"/>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5" w:hRule="atLeast"/>
          <w:jc w:val="center"/>
        </w:trPr>
        <w:tc>
          <w:tcPr>
            <w:tcW w:w="25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Times New Roman" w:hAnsi="Times New Roman" w:eastAsia="宋体"/>
                <w:color w:val="000000"/>
                <w:sz w:val="21"/>
                <w:szCs w:val="21"/>
              </w:rPr>
            </w:pPr>
            <w:r>
              <w:rPr>
                <w:rFonts w:ascii="Times New Roman" w:hAnsi="Times New Roman" w:eastAsia="宋体"/>
                <w:color w:val="000000"/>
                <w:sz w:val="21"/>
                <w:szCs w:val="21"/>
              </w:rPr>
              <w:t>1</w:t>
            </w:r>
            <w:r>
              <w:rPr>
                <w:rFonts w:hint="eastAsia" w:ascii="Times New Roman" w:hAnsi="Times New Roman" w:eastAsia="宋体"/>
                <w:color w:val="000000"/>
                <w:sz w:val="21"/>
                <w:szCs w:val="21"/>
              </w:rPr>
              <w:t>1</w:t>
            </w:r>
          </w:p>
        </w:tc>
        <w:tc>
          <w:tcPr>
            <w:tcW w:w="392"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ZH44180320005</w:t>
            </w:r>
          </w:p>
        </w:tc>
        <w:tc>
          <w:tcPr>
            <w:tcW w:w="378"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清新区太平镇重点管控单元</w:t>
            </w:r>
          </w:p>
        </w:tc>
        <w:tc>
          <w:tcPr>
            <w:tcW w:w="260"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w:t>
            </w:r>
          </w:p>
        </w:tc>
        <w:tc>
          <w:tcPr>
            <w:tcW w:w="1723" w:type="pc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rPr>
                <w:rFonts w:ascii="楷体_GB2312" w:hAnsi="Times New Roman" w:eastAsia="楷体_GB2312"/>
                <w:b/>
                <w:bCs/>
                <w:kern w:val="0"/>
                <w:sz w:val="21"/>
                <w:szCs w:val="21"/>
                <w:lang w:bidi="ar"/>
              </w:rPr>
            </w:pPr>
            <w:r>
              <w:rPr>
                <w:rFonts w:hint="eastAsia" w:ascii="楷体_GB2312" w:hAnsi="Times New Roman" w:eastAsia="楷体_GB2312"/>
                <w:b/>
                <w:bCs/>
                <w:kern w:val="0"/>
                <w:sz w:val="21"/>
                <w:szCs w:val="21"/>
                <w:lang w:bidi="ar"/>
              </w:rPr>
              <w:t>新增：</w:t>
            </w:r>
          </w:p>
          <w:p>
            <w:pPr>
              <w:keepNext w:val="0"/>
              <w:keepLines w:val="0"/>
              <w:pageBreakBefore w:val="0"/>
              <w:kinsoku/>
              <w:wordWrap/>
              <w:overflowPunct/>
              <w:topLinePunct w:val="0"/>
              <w:autoSpaceDE/>
              <w:autoSpaceDN/>
              <w:bidi w:val="0"/>
              <w:adjustRightInd/>
              <w:snapToGrid/>
              <w:spacing w:line="260" w:lineRule="exact"/>
              <w:ind w:firstLine="0" w:firstLineChars="0"/>
              <w:jc w:val="both"/>
              <w:rPr>
                <w:rFonts w:hint="eastAsia" w:ascii="楷体_GB2312" w:hAnsi="Times New Roman" w:eastAsia="楷体_GB2312"/>
                <w:kern w:val="0"/>
                <w:sz w:val="21"/>
                <w:szCs w:val="21"/>
                <w:lang w:eastAsia="zh-CN" w:bidi="ar"/>
              </w:rPr>
            </w:pPr>
            <w:r>
              <w:rPr>
                <w:rFonts w:ascii="Times New Roman" w:hAnsi="Times New Roman" w:eastAsia="仿宋_GB2312"/>
                <w:b/>
                <w:bCs/>
                <w:kern w:val="0"/>
                <w:sz w:val="21"/>
                <w:szCs w:val="21"/>
                <w:u w:val="single"/>
              </w:rPr>
              <w:t>3-12.【大气/鼓励引导类】</w:t>
            </w:r>
            <w:r>
              <w:rPr>
                <w:rFonts w:hint="eastAsia" w:ascii="楷体_GB2312" w:hAnsi="Times New Roman" w:eastAsia="楷体_GB2312"/>
                <w:b/>
                <w:bCs/>
                <w:kern w:val="0"/>
                <w:sz w:val="21"/>
                <w:szCs w:val="21"/>
                <w:u w:val="single"/>
                <w:lang w:bidi="ar"/>
              </w:rPr>
              <w:t>推广涉VOCs“绿岛”项目建设</w:t>
            </w:r>
            <w:r>
              <w:rPr>
                <w:rFonts w:hint="eastAsia" w:ascii="楷体_GB2312" w:hAnsi="Times New Roman" w:eastAsia="楷体_GB2312"/>
                <w:b/>
                <w:bCs/>
                <w:kern w:val="0"/>
                <w:sz w:val="21"/>
                <w:szCs w:val="21"/>
                <w:u w:val="single"/>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12</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ZH44180220008</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清城区龙塘镇重点管控单元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区域布局管控</w:t>
            </w:r>
          </w:p>
        </w:tc>
        <w:tc>
          <w:tcPr>
            <w:tcW w:w="1411" w:type="pct"/>
            <w:vAlign w:val="center"/>
          </w:tcPr>
          <w:p>
            <w:pPr>
              <w:spacing w:line="28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1-1.【产业/禁止类】禁止新建陶瓷（新型特种陶瓷项目除外）、专业电镀、化工及危化品储存、铅酸蓄电池、鞣革、印染、造纸等项目；禁止新建、扩建废轮胎、废弃电器电子产品、废电（线）路板、废五金（进口）、废塑料、废橡胶、废纸加工利用、废覆铜板等废旧资源综合利用项目；禁止新建、扩建人造革项目；禁止增加铅污染物排放的项目。</w:t>
            </w:r>
          </w:p>
        </w:tc>
        <w:tc>
          <w:tcPr>
            <w:tcW w:w="1723" w:type="pct"/>
            <w:vAlign w:val="center"/>
          </w:tcPr>
          <w:p>
            <w:pPr>
              <w:spacing w:line="28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1-1.【产业/禁止类】禁止新建陶瓷（新型特种陶瓷项目除外）、专业电镀、化工及危化品储存、铅酸蓄电池、鞣革、印染、造纸等项目；禁止新建、扩建废轮胎、废弃电器电子产品、废电（线）路板、废五金（进口）、废塑料、废橡胶、废纸加工利用、废覆铜板等废旧资源综合利用项目；禁止新建、扩建人造革项目；禁止增加铅污染物排放的项目；</w:t>
            </w:r>
            <w:r>
              <w:rPr>
                <w:rFonts w:hint="eastAsia" w:ascii="楷体_GB2312" w:hAnsi="Times New Roman" w:eastAsia="楷体_GB2312"/>
                <w:b/>
                <w:bCs/>
                <w:kern w:val="0"/>
                <w:sz w:val="21"/>
                <w:szCs w:val="21"/>
                <w:u w:val="single"/>
                <w:lang w:bidi="ar"/>
              </w:rPr>
              <w:t>禁止新建、改建、扩建使用再生料为原料的塑料制品行业。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0"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13</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ZH44180220011</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清城区石角镇重点管控单元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区域布局管控</w:t>
            </w:r>
          </w:p>
        </w:tc>
        <w:tc>
          <w:tcPr>
            <w:tcW w:w="1411" w:type="pct"/>
            <w:vAlign w:val="center"/>
          </w:tcPr>
          <w:p>
            <w:pPr>
              <w:spacing w:line="28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1-1.【产业/禁止类】禁止新建陶瓷（新型特种陶瓷项目除外）、专业电镀、化工及危化品储存、铅酸蓄电池、鞣革、印染、造纸、废弃电器电子产品等项目；禁止新建、扩建废轮胎、废电（线）路板、废五金（进口）、废塑料、废橡胶、废纸加工利用、废覆铜板等废旧资源综合利用项目；禁止新建、扩建人造革项目；禁止增加铅污染物排放的项目。</w:t>
            </w:r>
          </w:p>
        </w:tc>
        <w:tc>
          <w:tcPr>
            <w:tcW w:w="1723" w:type="pct"/>
            <w:vAlign w:val="center"/>
          </w:tcPr>
          <w:p>
            <w:pPr>
              <w:spacing w:line="28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1-1.【产业/禁止类】禁止新建陶瓷（新型特种陶瓷项目除外）、专业电镀、化工及危化品储存、铅酸蓄电池、鞣革、印染、造纸、废弃电器电子产品等项目；禁止新建、扩建废轮胎、废电（线）路板、废五金（进口）、废塑料、废橡胶、废纸加工利用、废覆铜板等废旧资源综合利用项目；禁止新建、扩建人造革项目；禁止增加铅污染物排放的项目；</w:t>
            </w:r>
            <w:r>
              <w:rPr>
                <w:rFonts w:hint="eastAsia" w:ascii="楷体_GB2312" w:hAnsi="Times New Roman" w:eastAsia="楷体_GB2312"/>
                <w:b/>
                <w:bCs/>
                <w:kern w:val="0"/>
                <w:sz w:val="21"/>
                <w:szCs w:val="21"/>
                <w:u w:val="single"/>
                <w:lang w:bidi="ar"/>
              </w:rPr>
              <w:t>禁止新建、改建、扩建使用再生料为原料的塑料制品行业。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5"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14</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ZH44180220001</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广东清远高新技术产业开发区重点管控单元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3-9.【土壤/限制类】重金属污染防治重点行业企业严格实行重点重金属污染物减量替代。</w:t>
            </w:r>
          </w:p>
        </w:tc>
        <w:tc>
          <w:tcPr>
            <w:tcW w:w="1723"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3-9.【</w:t>
            </w:r>
            <w:r>
              <w:rPr>
                <w:rFonts w:hint="eastAsia" w:ascii="楷体_GB2312" w:hAnsi="Times New Roman" w:eastAsia="楷体_GB2312"/>
                <w:b/>
                <w:bCs/>
                <w:color w:val="000000"/>
                <w:kern w:val="0"/>
                <w:sz w:val="21"/>
                <w:szCs w:val="21"/>
                <w:u w:val="single"/>
                <w:lang w:bidi="ar"/>
              </w:rPr>
              <w:t>其他</w:t>
            </w:r>
            <w:r>
              <w:rPr>
                <w:rFonts w:hint="eastAsia" w:ascii="楷体_GB2312" w:hAnsi="Times New Roman" w:eastAsia="楷体_GB2312"/>
                <w:b/>
                <w:bCs/>
                <w:color w:val="000000"/>
                <w:kern w:val="0"/>
                <w:sz w:val="21"/>
                <w:szCs w:val="21"/>
                <w:lang w:bidi="ar"/>
              </w:rPr>
              <w:t>/</w:t>
            </w:r>
            <w:r>
              <w:rPr>
                <w:rFonts w:hint="eastAsia" w:ascii="楷体_GB2312" w:hAnsi="Times New Roman" w:eastAsia="楷体_GB2312"/>
                <w:color w:val="000000"/>
                <w:kern w:val="0"/>
                <w:sz w:val="21"/>
                <w:szCs w:val="21"/>
                <w:lang w:bidi="ar"/>
              </w:rPr>
              <w:t>限制类】</w:t>
            </w:r>
            <w:r>
              <w:rPr>
                <w:rFonts w:hint="eastAsia" w:ascii="楷体_GB2312" w:hAnsi="Times New Roman" w:eastAsia="楷体_GB2312"/>
                <w:b/>
                <w:bCs/>
                <w:color w:val="000000"/>
                <w:kern w:val="0"/>
                <w:sz w:val="21"/>
                <w:szCs w:val="21"/>
                <w:u w:val="single"/>
                <w:lang w:bidi="ar"/>
              </w:rPr>
              <w:t>重点区域新、改、扩建重点行业建设项目应严格遵循重点重金属污染物排放“减量替代”原则。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95"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15</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ZH44180220002</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广州（清远）产业转移工业园重点管控单元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3-9.【土壤/限制类】重金属污染防治重点行业企业严格实行重点重金属污染物减量替代。</w:t>
            </w:r>
          </w:p>
        </w:tc>
        <w:tc>
          <w:tcPr>
            <w:tcW w:w="1723"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3-9.【</w:t>
            </w:r>
            <w:r>
              <w:rPr>
                <w:rFonts w:hint="eastAsia" w:ascii="楷体_GB2312" w:hAnsi="Times New Roman" w:eastAsia="楷体_GB2312"/>
                <w:b/>
                <w:bCs/>
                <w:color w:val="000000"/>
                <w:kern w:val="0"/>
                <w:sz w:val="21"/>
                <w:szCs w:val="21"/>
                <w:u w:val="single"/>
                <w:lang w:bidi="ar"/>
              </w:rPr>
              <w:t>其他/</w:t>
            </w:r>
            <w:r>
              <w:rPr>
                <w:rFonts w:hint="eastAsia" w:ascii="楷体_GB2312" w:hAnsi="Times New Roman" w:eastAsia="楷体_GB2312"/>
                <w:color w:val="000000"/>
                <w:kern w:val="0"/>
                <w:sz w:val="21"/>
                <w:szCs w:val="21"/>
                <w:lang w:bidi="ar"/>
              </w:rPr>
              <w:t>限制类】</w:t>
            </w:r>
            <w:r>
              <w:rPr>
                <w:rFonts w:hint="eastAsia" w:ascii="楷体_GB2312" w:hAnsi="Times New Roman" w:eastAsia="楷体_GB2312"/>
                <w:b/>
                <w:bCs/>
                <w:color w:val="000000"/>
                <w:kern w:val="0"/>
                <w:sz w:val="21"/>
                <w:szCs w:val="21"/>
                <w:u w:val="single"/>
                <w:lang w:bidi="ar"/>
              </w:rPr>
              <w:t>重点区域新、改、扩建重点行业建设项目应严格遵循重点重金属污染物排放“减量替代”原则。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0"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16</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ZH44180220008</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清城区龙塘镇重点管控单元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3-10.【土壤/限制类】重金属污染防治重点行业企业严格实行重点重金属污染物减量替代。</w:t>
            </w:r>
          </w:p>
        </w:tc>
        <w:tc>
          <w:tcPr>
            <w:tcW w:w="1723"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w:t>
            </w:r>
            <w:r>
              <w:rPr>
                <w:rFonts w:ascii="楷体_GB2312" w:hAnsi="Times New Roman" w:eastAsia="楷体_GB2312"/>
                <w:color w:val="000000"/>
                <w:kern w:val="0"/>
                <w:sz w:val="21"/>
                <w:szCs w:val="21"/>
                <w:lang w:bidi="ar"/>
              </w:rPr>
              <w:t>10</w:t>
            </w:r>
            <w:r>
              <w:rPr>
                <w:rFonts w:hint="eastAsia" w:ascii="楷体_GB2312" w:hAnsi="Times New Roman" w:eastAsia="楷体_GB2312"/>
                <w:color w:val="000000"/>
                <w:kern w:val="0"/>
                <w:sz w:val="21"/>
                <w:szCs w:val="21"/>
                <w:lang w:bidi="ar"/>
              </w:rPr>
              <w:t>.【</w:t>
            </w:r>
            <w:r>
              <w:rPr>
                <w:rFonts w:hint="eastAsia" w:ascii="楷体_GB2312" w:hAnsi="Times New Roman" w:eastAsia="楷体_GB2312"/>
                <w:b/>
                <w:bCs/>
                <w:color w:val="000000"/>
                <w:kern w:val="0"/>
                <w:sz w:val="21"/>
                <w:szCs w:val="21"/>
                <w:u w:val="single"/>
                <w:lang w:bidi="ar"/>
              </w:rPr>
              <w:t>其他</w:t>
            </w:r>
            <w:r>
              <w:rPr>
                <w:rFonts w:hint="eastAsia" w:ascii="楷体_GB2312" w:hAnsi="Times New Roman" w:eastAsia="楷体_GB2312"/>
                <w:color w:val="000000"/>
                <w:kern w:val="0"/>
                <w:sz w:val="21"/>
                <w:szCs w:val="21"/>
                <w:lang w:bidi="ar"/>
              </w:rPr>
              <w:t>/限制类】</w:t>
            </w:r>
            <w:r>
              <w:rPr>
                <w:rFonts w:hint="eastAsia" w:ascii="楷体_GB2312" w:hAnsi="Times New Roman" w:eastAsia="楷体_GB2312"/>
                <w:b/>
                <w:bCs/>
                <w:color w:val="000000"/>
                <w:kern w:val="0"/>
                <w:sz w:val="21"/>
                <w:szCs w:val="21"/>
                <w:u w:val="single"/>
                <w:lang w:bidi="ar"/>
              </w:rPr>
              <w:t>重点区域新、改、扩建重点行业建设项目应严格遵循重点重金属污染物排放“减量替代”原则。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5"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17</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ZH44180220011</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清城区石角镇重点管控单元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污染物排放管控</w:t>
            </w:r>
          </w:p>
        </w:tc>
        <w:tc>
          <w:tcPr>
            <w:tcW w:w="1411" w:type="pct"/>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3-9.【土壤/限制类】重金属污染防治重点行业企业严格实行重点重金属污染物减量替代。</w:t>
            </w:r>
          </w:p>
        </w:tc>
        <w:tc>
          <w:tcPr>
            <w:tcW w:w="1723" w:type="pct"/>
            <w:vAlign w:val="center"/>
          </w:tcPr>
          <w:p>
            <w:pPr>
              <w:spacing w:line="280" w:lineRule="exact"/>
              <w:ind w:firstLine="0" w:firstLineChars="0"/>
              <w:jc w:val="both"/>
              <w:rPr>
                <w:rFonts w:ascii="楷体_GB2312" w:hAnsi="Times New Roman" w:eastAsia="楷体_GB2312"/>
                <w:color w:val="000000"/>
                <w:kern w:val="0"/>
                <w:sz w:val="21"/>
                <w:szCs w:val="21"/>
                <w:u w:val="single"/>
                <w:lang w:bidi="ar"/>
              </w:rPr>
            </w:pPr>
            <w:r>
              <w:rPr>
                <w:rFonts w:hint="eastAsia" w:ascii="楷体_GB2312" w:hAnsi="Times New Roman" w:eastAsia="楷体_GB2312"/>
                <w:color w:val="000000"/>
                <w:kern w:val="0"/>
                <w:sz w:val="21"/>
                <w:szCs w:val="21"/>
                <w:u w:val="none"/>
                <w:lang w:bidi="ar"/>
              </w:rPr>
              <w:t>3-9.【</w:t>
            </w:r>
            <w:r>
              <w:rPr>
                <w:rFonts w:hint="eastAsia" w:ascii="楷体_GB2312" w:hAnsi="Times New Roman" w:eastAsia="楷体_GB2312"/>
                <w:b/>
                <w:bCs/>
                <w:color w:val="000000"/>
                <w:kern w:val="0"/>
                <w:sz w:val="21"/>
                <w:szCs w:val="21"/>
                <w:u w:val="single"/>
                <w:lang w:bidi="ar"/>
              </w:rPr>
              <w:t>其他</w:t>
            </w:r>
            <w:r>
              <w:rPr>
                <w:rFonts w:hint="eastAsia" w:ascii="楷体_GB2312" w:hAnsi="Times New Roman" w:eastAsia="楷体_GB2312"/>
                <w:color w:val="000000"/>
                <w:kern w:val="0"/>
                <w:sz w:val="21"/>
                <w:szCs w:val="21"/>
                <w:u w:val="none"/>
                <w:lang w:bidi="ar"/>
              </w:rPr>
              <w:t>/限制类】</w:t>
            </w:r>
            <w:r>
              <w:rPr>
                <w:rFonts w:hint="eastAsia" w:ascii="楷体_GB2312" w:hAnsi="Times New Roman" w:eastAsia="楷体_GB2312"/>
                <w:b/>
                <w:bCs/>
                <w:color w:val="000000"/>
                <w:kern w:val="0"/>
                <w:sz w:val="21"/>
                <w:szCs w:val="21"/>
                <w:u w:val="single"/>
                <w:lang w:bidi="ar"/>
              </w:rPr>
              <w:t>重点区域新、改、扩建重点行业建设项目应严格遵循重点重金属污染物排放“减量替代”原则。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5" w:hRule="atLeast"/>
          <w:jc w:val="center"/>
        </w:trPr>
        <w:tc>
          <w:tcPr>
            <w:tcW w:w="257" w:type="pct"/>
            <w:vAlign w:val="center"/>
          </w:tcPr>
          <w:p>
            <w:pPr>
              <w:spacing w:line="280" w:lineRule="exact"/>
              <w:ind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8</w:t>
            </w:r>
          </w:p>
        </w:tc>
        <w:tc>
          <w:tcPr>
            <w:tcW w:w="392"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ZH44180220011</w:t>
            </w:r>
          </w:p>
        </w:tc>
        <w:tc>
          <w:tcPr>
            <w:tcW w:w="378"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清城区石角镇重点管控单元</w:t>
            </w:r>
          </w:p>
        </w:tc>
        <w:tc>
          <w:tcPr>
            <w:tcW w:w="260" w:type="pct"/>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区域布局管控</w:t>
            </w:r>
          </w:p>
        </w:tc>
        <w:tc>
          <w:tcPr>
            <w:tcW w:w="1411" w:type="pct"/>
            <w:vAlign w:val="center"/>
          </w:tcPr>
          <w:p>
            <w:pPr>
              <w:spacing w:line="28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1-1.【产业/禁止类】禁止新建陶瓷（新型特种陶瓷项目除外）、专业电镀、化工及危化品储存、铅酸蓄电池、鞣革、印染、造纸等项目；禁止新建、扩建废轮胎、废弃电器电子产品、废电（线）路板、废五金（进口）、废塑料、废橡胶、废纸加工利用、废覆铜板等废旧资源综合利用项目；禁止新建、扩建人造革项目；禁止增加铅污染物排放的项目。</w:t>
            </w:r>
          </w:p>
        </w:tc>
        <w:tc>
          <w:tcPr>
            <w:tcW w:w="1723" w:type="pct"/>
            <w:vAlign w:val="center"/>
          </w:tcPr>
          <w:p>
            <w:pPr>
              <w:spacing w:line="280" w:lineRule="exact"/>
              <w:ind w:firstLine="0" w:firstLineChars="0"/>
              <w:jc w:val="both"/>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1-1.【产业/禁止类】禁止新建陶瓷（新型特种陶瓷项目除外）、专业电镀、化工及危化品储存、铅酸蓄电池、鞣革、印染、造纸等项目；</w:t>
            </w:r>
            <w:r>
              <w:rPr>
                <w:rFonts w:hint="eastAsia" w:ascii="楷体_GB2312" w:hAnsi="Times New Roman" w:eastAsia="楷体_GB2312"/>
                <w:b/>
                <w:bCs/>
                <w:kern w:val="0"/>
                <w:sz w:val="21"/>
                <w:szCs w:val="21"/>
                <w:u w:val="single"/>
                <w:lang w:bidi="ar"/>
              </w:rPr>
              <w:t>禁止改扩建工业企业匹配度达不到A类或通过改扩建不能从B类升级为A类的化工项目；</w:t>
            </w:r>
            <w:r>
              <w:rPr>
                <w:rFonts w:hint="eastAsia" w:ascii="楷体_GB2312" w:hAnsi="Times New Roman" w:eastAsia="楷体_GB2312"/>
                <w:kern w:val="0"/>
                <w:sz w:val="21"/>
                <w:szCs w:val="21"/>
                <w:lang w:bidi="ar"/>
              </w:rPr>
              <w:t>禁止新建、扩建废轮胎、废弃电器电子产品、废电（线）路板、废五金（进口）、废塑料、废橡胶、废纸加工利用、废覆铜板等废旧资源综合利用项目；禁止新建、扩建人造革项目；禁止增加铅污染物排放的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5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19</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优先保护单元</w:t>
            </w: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ZH44180210001</w:t>
            </w:r>
          </w:p>
        </w:tc>
        <w:tc>
          <w:tcPr>
            <w:tcW w:w="378"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清城区飞霞山风景名胜区优先保护单元</w:t>
            </w:r>
          </w:p>
        </w:tc>
        <w:tc>
          <w:tcPr>
            <w:tcW w:w="26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管控要求</w:t>
            </w:r>
          </w:p>
        </w:tc>
        <w:tc>
          <w:tcPr>
            <w:tcW w:w="14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生态/禁止类】飞霞山风景名胜区按照《风景名胜区条例》《广东省风景名胜区条例》及其他相关法律法规实施管理。禁止违反风景名胜区规划，在风景名胜区内设立各类开发区和在核心景区内建设宾馆、招待所、培训中心、疗养院以及与风景名胜资源保护无关的其他建筑物；已经建设的，应当按照风景名胜区规划，逐步迁出。</w:t>
            </w:r>
          </w:p>
        </w:tc>
        <w:tc>
          <w:tcPr>
            <w:tcW w:w="1723"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3.【生态/禁止类】飞霞山风景名胜区按照</w:t>
            </w:r>
            <w:r>
              <w:rPr>
                <w:rFonts w:hint="eastAsia" w:ascii="楷体_GB2312" w:hAnsi="Times New Roman" w:eastAsia="楷体_GB2312"/>
                <w:b/>
                <w:bCs/>
                <w:color w:val="000000"/>
                <w:kern w:val="0"/>
                <w:sz w:val="21"/>
                <w:szCs w:val="21"/>
                <w:u w:val="single"/>
                <w:lang w:bidi="ar"/>
              </w:rPr>
              <w:t>《风景名胜区条例》</w:t>
            </w:r>
            <w:r>
              <w:rPr>
                <w:rFonts w:hint="eastAsia" w:ascii="楷体_GB2312" w:hAnsi="Times New Roman" w:eastAsia="楷体_GB2312"/>
                <w:color w:val="000000"/>
                <w:kern w:val="0"/>
                <w:sz w:val="21"/>
                <w:szCs w:val="21"/>
                <w:lang w:bidi="ar"/>
              </w:rPr>
              <w:t>及其他相关法律法规实施管理。禁止违反风景名胜区规划，在风景名胜区内设立各类开发区和在核心景区内建设宾馆、招待所、培训中心、疗养院以及与风景名胜资源保护无关的其他建筑物；已经建设的，应当按照风景名胜区规划，逐步迁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57"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20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一般管控单元</w:t>
            </w: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ZH44188130001</w:t>
            </w:r>
          </w:p>
        </w:tc>
        <w:tc>
          <w:tcPr>
            <w:tcW w:w="378"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英德市英城街道一般管控单元</w:t>
            </w:r>
          </w:p>
        </w:tc>
        <w:tc>
          <w:tcPr>
            <w:tcW w:w="260"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区域布局管控</w:t>
            </w:r>
          </w:p>
        </w:tc>
        <w:tc>
          <w:tcPr>
            <w:tcW w:w="1411"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1-7.【生态/禁止类】英德宝晶宫省级风景名胜区按照《风景名胜区条例》《广东省风景名胜区条例》及其他相关法律法规实施管理。禁止违反风景名胜区规划，在风景名胜区内设立各类开发区和在核心景区内建设宾馆、招待所、培训中心、疗养院以及与风景名胜资源保护无关的其他建筑物；已经建设的，应当按照风景名胜区规划，逐步迁出。</w:t>
            </w:r>
          </w:p>
        </w:tc>
        <w:tc>
          <w:tcPr>
            <w:tcW w:w="1723"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1-7.【生态/禁止类】英德宝晶宫省级风景名胜区按照</w:t>
            </w:r>
            <w:r>
              <w:rPr>
                <w:rFonts w:hint="eastAsia" w:ascii="楷体_GB2312" w:hAnsi="Times New Roman" w:eastAsia="楷体_GB2312"/>
                <w:b/>
                <w:bCs/>
                <w:color w:val="000000"/>
                <w:kern w:val="0"/>
                <w:sz w:val="21"/>
                <w:szCs w:val="21"/>
                <w:u w:val="single"/>
                <w:lang w:bidi="ar"/>
              </w:rPr>
              <w:t>《风景名胜区条例》</w:t>
            </w:r>
            <w:r>
              <w:rPr>
                <w:rFonts w:hint="eastAsia" w:ascii="楷体_GB2312" w:hAnsi="Times New Roman" w:eastAsia="楷体_GB2312"/>
                <w:color w:val="000000"/>
                <w:kern w:val="0"/>
                <w:sz w:val="21"/>
                <w:szCs w:val="21"/>
                <w:lang w:bidi="ar"/>
              </w:rPr>
              <w:t>及其他相关法律法规实施管理。禁止违反风景名胜区规划，在风景名胜区内设立各类开发区和在核心景区内建设宾馆、招待所、培训中心、疗养院以及与风景名胜资源保护无关的其他建筑物；已经建设的，应当按照风景名胜区规划，逐步迁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5" w:hRule="atLeast"/>
          <w:jc w:val="center"/>
        </w:trPr>
        <w:tc>
          <w:tcPr>
            <w:tcW w:w="257"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21</w:t>
            </w:r>
          </w:p>
        </w:tc>
        <w:tc>
          <w:tcPr>
            <w:tcW w:w="392"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园区型重点管控单元</w:t>
            </w:r>
          </w:p>
        </w:tc>
        <w:tc>
          <w:tcPr>
            <w:tcW w:w="577"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ZH44180220002</w:t>
            </w:r>
          </w:p>
        </w:tc>
        <w:tc>
          <w:tcPr>
            <w:tcW w:w="378"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广州（清远）产业转移工业园重点管控单元</w:t>
            </w:r>
          </w:p>
        </w:tc>
        <w:tc>
          <w:tcPr>
            <w:tcW w:w="260"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园区基本概况</w:t>
            </w:r>
          </w:p>
        </w:tc>
        <w:tc>
          <w:tcPr>
            <w:tcW w:w="141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园区位于清城区石角镇，重点打造新材料、汽车及关键零部件产业，同时发展电子信息、生物医药、食品饮料产业，关注和培育以现代物流、金融、商务会展等为主的现代服务业辅助产业。</w:t>
            </w:r>
            <w:r>
              <w:rPr>
                <w:rFonts w:hint="eastAsia" w:ascii="楷体_GB2312" w:hAnsi="Times New Roman" w:eastAsia="楷体_GB2312"/>
                <w:color w:val="000000"/>
                <w:kern w:val="0"/>
                <w:sz w:val="21"/>
                <w:szCs w:val="21"/>
                <w:lang w:bidi="ar"/>
              </w:rPr>
              <w:br w:type="textWrapping"/>
            </w:r>
            <w:r>
              <w:rPr>
                <w:rFonts w:hint="eastAsia" w:ascii="楷体_GB2312" w:hAnsi="Times New Roman" w:eastAsia="楷体_GB2312"/>
                <w:color w:val="000000"/>
                <w:kern w:val="0"/>
                <w:sz w:val="21"/>
                <w:szCs w:val="21"/>
                <w:lang w:bidi="ar"/>
              </w:rPr>
              <w:t>扩园规划区将大力发展两个主导产业：高端装备制造和新材料。高端装备制造重点发展输变电设备制造、电器设备制造等；新材料主要发展特种金属功能材料、新型无机非金属材料高性能复合材料、先进高分子材料。</w:t>
            </w:r>
          </w:p>
        </w:tc>
        <w:tc>
          <w:tcPr>
            <w:tcW w:w="1723"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园区位于清城区石角镇，重点打造新材料、汽车及关键零部件</w:t>
            </w:r>
            <w:r>
              <w:rPr>
                <w:rFonts w:hint="eastAsia" w:ascii="楷体_GB2312" w:hAnsi="Times New Roman" w:eastAsia="楷体_GB2312"/>
                <w:b/>
                <w:bCs/>
                <w:color w:val="000000"/>
                <w:kern w:val="0"/>
                <w:sz w:val="21"/>
                <w:szCs w:val="21"/>
                <w:u w:val="single"/>
                <w:lang w:bidi="ar"/>
              </w:rPr>
              <w:t>、家具3</w:t>
            </w:r>
            <w:r>
              <w:rPr>
                <w:rFonts w:ascii="楷体_GB2312" w:hAnsi="Times New Roman" w:eastAsia="楷体_GB2312"/>
                <w:b/>
                <w:bCs/>
                <w:color w:val="000000"/>
                <w:kern w:val="0"/>
                <w:sz w:val="21"/>
                <w:szCs w:val="21"/>
                <w:u w:val="single"/>
                <w:lang w:bidi="ar"/>
              </w:rPr>
              <w:t>个主导产业</w:t>
            </w:r>
            <w:r>
              <w:rPr>
                <w:rFonts w:ascii="楷体_GB2312" w:hAnsi="Times New Roman" w:eastAsia="楷体_GB2312"/>
                <w:color w:val="000000"/>
                <w:kern w:val="0"/>
                <w:sz w:val="21"/>
                <w:szCs w:val="21"/>
                <w:lang w:bidi="ar"/>
              </w:rPr>
              <w:t>；同时发展电子信息、生物医药、食品饮料</w:t>
            </w:r>
            <w:r>
              <w:rPr>
                <w:rFonts w:hint="eastAsia" w:ascii="楷体_GB2312" w:hAnsi="Times New Roman" w:eastAsia="楷体_GB2312"/>
                <w:b/>
                <w:bCs/>
                <w:color w:val="000000"/>
                <w:kern w:val="0"/>
                <w:sz w:val="21"/>
                <w:szCs w:val="21"/>
                <w:u w:val="single"/>
                <w:lang w:bidi="ar"/>
              </w:rPr>
              <w:t>3</w:t>
            </w:r>
            <w:r>
              <w:rPr>
                <w:rFonts w:ascii="楷体_GB2312" w:hAnsi="Times New Roman" w:eastAsia="楷体_GB2312"/>
                <w:b/>
                <w:bCs/>
                <w:color w:val="000000"/>
                <w:kern w:val="0"/>
                <w:sz w:val="21"/>
                <w:szCs w:val="21"/>
                <w:u w:val="single"/>
                <w:lang w:bidi="ar"/>
              </w:rPr>
              <w:t>个战略支撑性产业</w:t>
            </w:r>
            <w:r>
              <w:rPr>
                <w:rFonts w:ascii="楷体_GB2312" w:hAnsi="Times New Roman" w:eastAsia="楷体_GB2312"/>
                <w:color w:val="000000"/>
                <w:kern w:val="0"/>
                <w:sz w:val="21"/>
                <w:szCs w:val="21"/>
                <w:lang w:bidi="ar"/>
              </w:rPr>
              <w:t>；关注和培育以现代物流、金融、商务会展等为主的现代服务业辅助产业。</w:t>
            </w:r>
            <w:r>
              <w:rPr>
                <w:rFonts w:hint="eastAsia" w:ascii="楷体_GB2312" w:hAnsi="Times New Roman" w:eastAsia="楷体_GB2312"/>
                <w:color w:val="000000"/>
                <w:kern w:val="0"/>
                <w:sz w:val="21"/>
                <w:szCs w:val="21"/>
                <w:lang w:bidi="ar"/>
              </w:rPr>
              <w:br w:type="textWrapping"/>
            </w:r>
            <w:r>
              <w:rPr>
                <w:rFonts w:ascii="楷体_GB2312" w:hAnsi="Times New Roman" w:eastAsia="楷体_GB2312"/>
                <w:color w:val="000000"/>
                <w:kern w:val="0"/>
                <w:sz w:val="21"/>
                <w:szCs w:val="21"/>
                <w:lang w:bidi="ar"/>
              </w:rPr>
              <w:t>扩园规划区将大力发展两个主导产业：高端装备制造和新材料。高端装备制造重点发展输变电设备制造、电器设备制造等；新材料主要发展特种金属功能材料、新型无机非金属材料高性能复合材料、先进高分子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00" w:hRule="atLeast"/>
          <w:jc w:val="center"/>
        </w:trPr>
        <w:tc>
          <w:tcPr>
            <w:tcW w:w="25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2</w:t>
            </w:r>
            <w:r>
              <w:rPr>
                <w:rFonts w:ascii="楷体_GB2312" w:hAnsi="Times New Roman" w:eastAsia="楷体_GB2312"/>
                <w:color w:val="000000"/>
                <w:kern w:val="0"/>
                <w:sz w:val="21"/>
                <w:szCs w:val="21"/>
                <w:lang w:bidi="ar"/>
              </w:rPr>
              <w:t>2</w:t>
            </w:r>
          </w:p>
        </w:tc>
        <w:tc>
          <w:tcPr>
            <w:tcW w:w="392"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园区型重点管控单元</w:t>
            </w:r>
          </w:p>
        </w:tc>
        <w:tc>
          <w:tcPr>
            <w:tcW w:w="57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ZH44182120001</w:t>
            </w:r>
          </w:p>
        </w:tc>
        <w:tc>
          <w:tcPr>
            <w:tcW w:w="378"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佛冈产业转移工业园重点管控单元</w:t>
            </w:r>
          </w:p>
        </w:tc>
        <w:tc>
          <w:tcPr>
            <w:tcW w:w="260"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园区基本概况</w:t>
            </w:r>
          </w:p>
        </w:tc>
        <w:tc>
          <w:tcPr>
            <w:tcW w:w="1411"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园区位于清远市佛冈县汤塘、石角、水头、迳头等镇，以电子设备制造、运输设备制造、专用和通用设备制造、食品和饮料制造产业发展为支柱。</w:t>
            </w:r>
          </w:p>
        </w:tc>
        <w:tc>
          <w:tcPr>
            <w:tcW w:w="1723"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w:t>
            </w:r>
            <w:r>
              <w:rPr>
                <w:rFonts w:hint="eastAsia" w:ascii="楷体_GB2312" w:hAnsi="Times New Roman" w:eastAsia="楷体_GB2312"/>
                <w:b/>
                <w:bCs/>
                <w:color w:val="000000"/>
                <w:kern w:val="0"/>
                <w:sz w:val="21"/>
                <w:szCs w:val="21"/>
                <w:u w:val="single"/>
                <w:lang w:bidi="ar"/>
              </w:rPr>
              <w:t>以装备制造、电子信息、新材料、生物医药与健康“3+1”为主导产业，并集聚了以约克空调、建滔电子信息集群、雅迪电动车、南玻新材料等行业知名领军</w:t>
            </w:r>
            <w:r>
              <w:rPr>
                <w:rFonts w:hint="eastAsia" w:ascii="楷体_GB2312" w:hAnsi="Times New Roman" w:eastAsia="楷体_GB2312"/>
                <w:b/>
                <w:bCs/>
                <w:color w:val="000000"/>
                <w:kern w:val="0"/>
                <w:sz w:val="21"/>
                <w:szCs w:val="21"/>
                <w:u w:val="single"/>
                <w:lang w:eastAsia="zh-CN" w:bidi="ar"/>
              </w:rPr>
              <w:t>企</w:t>
            </w:r>
            <w:r>
              <w:rPr>
                <w:rFonts w:hint="eastAsia" w:ascii="楷体_GB2312" w:hAnsi="Times New Roman" w:eastAsia="楷体_GB2312"/>
                <w:b/>
                <w:bCs/>
                <w:color w:val="000000"/>
                <w:kern w:val="0"/>
                <w:sz w:val="21"/>
                <w:szCs w:val="21"/>
                <w:u w:val="single"/>
                <w:lang w:bidi="ar"/>
              </w:rPr>
              <w:t>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65" w:hRule="atLeast"/>
          <w:jc w:val="center"/>
        </w:trPr>
        <w:tc>
          <w:tcPr>
            <w:tcW w:w="25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23</w:t>
            </w:r>
          </w:p>
        </w:tc>
        <w:tc>
          <w:tcPr>
            <w:tcW w:w="392"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园区型重点管控单元</w:t>
            </w:r>
          </w:p>
        </w:tc>
        <w:tc>
          <w:tcPr>
            <w:tcW w:w="57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ZH44182120004</w:t>
            </w:r>
          </w:p>
        </w:tc>
        <w:tc>
          <w:tcPr>
            <w:tcW w:w="378"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佛冈县三井工业园重点管控单元</w:t>
            </w:r>
          </w:p>
        </w:tc>
        <w:tc>
          <w:tcPr>
            <w:tcW w:w="260"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环境管控单元名称</w:t>
            </w:r>
          </w:p>
        </w:tc>
        <w:tc>
          <w:tcPr>
            <w:tcW w:w="1411"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佛冈县三井工业园重点管控单元</w:t>
            </w:r>
          </w:p>
        </w:tc>
        <w:tc>
          <w:tcPr>
            <w:tcW w:w="1723"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佛冈县</w:t>
            </w:r>
            <w:r>
              <w:rPr>
                <w:rFonts w:hint="eastAsia" w:ascii="楷体_GB2312" w:hAnsi="Times New Roman" w:eastAsia="楷体_GB2312"/>
                <w:b/>
                <w:bCs/>
                <w:color w:val="000000"/>
                <w:kern w:val="0"/>
                <w:sz w:val="21"/>
                <w:szCs w:val="21"/>
                <w:u w:val="single"/>
                <w:lang w:bidi="ar"/>
              </w:rPr>
              <w:t>大湾区生命科技园</w:t>
            </w:r>
            <w:r>
              <w:rPr>
                <w:rFonts w:hint="eastAsia" w:ascii="楷体_GB2312" w:hAnsi="Times New Roman" w:eastAsia="楷体_GB2312"/>
                <w:color w:val="000000"/>
                <w:kern w:val="0"/>
                <w:sz w:val="21"/>
                <w:szCs w:val="21"/>
                <w:lang w:bidi="ar"/>
              </w:rPr>
              <w:t>重点管控单元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95" w:hRule="atLeast"/>
          <w:jc w:val="center"/>
        </w:trPr>
        <w:tc>
          <w:tcPr>
            <w:tcW w:w="25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24</w:t>
            </w:r>
          </w:p>
        </w:tc>
        <w:tc>
          <w:tcPr>
            <w:tcW w:w="392"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园区型重点管控单元</w:t>
            </w:r>
          </w:p>
        </w:tc>
        <w:tc>
          <w:tcPr>
            <w:tcW w:w="57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ZH44180320002</w:t>
            </w:r>
          </w:p>
        </w:tc>
        <w:tc>
          <w:tcPr>
            <w:tcW w:w="378"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清远市龙湾电镀定点基地重点管控单元</w:t>
            </w:r>
          </w:p>
        </w:tc>
        <w:tc>
          <w:tcPr>
            <w:tcW w:w="260"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园区基本概况</w:t>
            </w:r>
          </w:p>
        </w:tc>
        <w:tc>
          <w:tcPr>
            <w:tcW w:w="1411"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基地位于太平镇龙湾村北部。基地预计年电镀总面积400万m</w:t>
            </w:r>
            <w:r>
              <w:rPr>
                <w:rFonts w:hint="eastAsia" w:ascii="楷体_GB2312" w:hAnsi="Times New Roman" w:eastAsia="楷体_GB2312"/>
                <w:color w:val="000000"/>
                <w:kern w:val="0"/>
                <w:sz w:val="21"/>
                <w:szCs w:val="21"/>
                <w:vertAlign w:val="superscript"/>
                <w:lang w:bidi="ar"/>
              </w:rPr>
              <w:t>2</w:t>
            </w:r>
            <w:r>
              <w:rPr>
                <w:rFonts w:hint="eastAsia" w:ascii="楷体_GB2312" w:hAnsi="Times New Roman" w:eastAsia="楷体_GB2312"/>
                <w:color w:val="000000"/>
                <w:kern w:val="0"/>
                <w:sz w:val="21"/>
                <w:szCs w:val="21"/>
                <w:lang w:bidi="ar"/>
              </w:rPr>
              <w:t>（镀种以镀铬、铜、镍、锌为主）</w:t>
            </w:r>
          </w:p>
        </w:tc>
        <w:tc>
          <w:tcPr>
            <w:tcW w:w="1723"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b/>
                <w:bCs/>
                <w:color w:val="000000"/>
                <w:kern w:val="0"/>
                <w:sz w:val="21"/>
                <w:szCs w:val="21"/>
                <w:u w:val="single"/>
                <w:lang w:bidi="ar"/>
              </w:rPr>
            </w:pPr>
            <w:r>
              <w:rPr>
                <w:rFonts w:hint="eastAsia" w:ascii="楷体_GB2312" w:hAnsi="Times New Roman" w:eastAsia="楷体_GB2312"/>
                <w:b/>
                <w:bCs/>
                <w:color w:val="000000"/>
                <w:kern w:val="0"/>
                <w:sz w:val="21"/>
                <w:szCs w:val="21"/>
                <w:u w:val="single"/>
                <w:lang w:bidi="ar"/>
              </w:rPr>
              <w:t>基地位于太平镇龙湾村北部。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20" w:hRule="atLeast"/>
          <w:jc w:val="center"/>
        </w:trPr>
        <w:tc>
          <w:tcPr>
            <w:tcW w:w="25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25</w:t>
            </w:r>
          </w:p>
        </w:tc>
        <w:tc>
          <w:tcPr>
            <w:tcW w:w="392"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重点管控单元</w:t>
            </w:r>
          </w:p>
        </w:tc>
        <w:tc>
          <w:tcPr>
            <w:tcW w:w="577"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ascii="楷体_GB2312" w:hAnsi="Times New Roman" w:eastAsia="楷体_GB2312"/>
                <w:color w:val="000000"/>
                <w:kern w:val="0"/>
                <w:sz w:val="21"/>
                <w:szCs w:val="21"/>
                <w:lang w:bidi="ar"/>
              </w:rPr>
              <w:t>ZH44180220011</w:t>
            </w:r>
          </w:p>
        </w:tc>
        <w:tc>
          <w:tcPr>
            <w:tcW w:w="378"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清城区石角镇重点管控单元</w:t>
            </w:r>
          </w:p>
        </w:tc>
        <w:tc>
          <w:tcPr>
            <w:tcW w:w="260"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管控单元分类</w:t>
            </w:r>
          </w:p>
        </w:tc>
        <w:tc>
          <w:tcPr>
            <w:tcW w:w="1411"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清城区</w:t>
            </w:r>
          </w:p>
        </w:tc>
        <w:tc>
          <w:tcPr>
            <w:tcW w:w="1723"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ind w:firstLine="0" w:firstLineChars="0"/>
              <w:jc w:val="both"/>
              <w:rPr>
                <w:rFonts w:ascii="楷体_GB2312" w:hAnsi="Times New Roman" w:eastAsia="楷体_GB2312"/>
                <w:b/>
                <w:bCs/>
                <w:color w:val="000000"/>
                <w:kern w:val="0"/>
                <w:sz w:val="21"/>
                <w:szCs w:val="21"/>
                <w:u w:val="single"/>
                <w:lang w:bidi="ar"/>
              </w:rPr>
            </w:pPr>
            <w:r>
              <w:rPr>
                <w:rFonts w:hint="eastAsia" w:ascii="楷体_GB2312" w:hAnsi="Times New Roman" w:eastAsia="楷体_GB2312"/>
                <w:b/>
                <w:bCs/>
                <w:color w:val="000000"/>
                <w:kern w:val="0"/>
                <w:sz w:val="21"/>
                <w:szCs w:val="21"/>
                <w:u w:val="single"/>
                <w:lang w:bidi="ar"/>
              </w:rPr>
              <w:t>重点管控单元</w:t>
            </w:r>
          </w:p>
        </w:tc>
      </w:tr>
    </w:tbl>
    <w:p>
      <w:pPr>
        <w:ind w:firstLine="480"/>
      </w:pPr>
    </w:p>
    <w:p>
      <w:pPr>
        <w:widowControl/>
        <w:spacing w:line="240" w:lineRule="auto"/>
        <w:ind w:firstLine="0" w:firstLineChars="0"/>
        <w:sectPr>
          <w:footerReference r:id="rId11" w:type="default"/>
          <w:pgSz w:w="16838" w:h="11906" w:orient="landscape"/>
          <w:pgMar w:top="1800" w:right="1440" w:bottom="1800" w:left="1440" w:header="851" w:footer="992" w:gutter="0"/>
          <w:pgNumType w:fmt="numberInDash"/>
          <w:cols w:space="425" w:num="1"/>
          <w:docGrid w:type="lines" w:linePitch="326" w:charSpace="0"/>
        </w:sectPr>
      </w:pPr>
    </w:p>
    <w:p>
      <w:pPr>
        <w:widowControl/>
        <w:spacing w:line="240" w:lineRule="auto"/>
        <w:ind w:firstLine="0" w:firstLineChars="0"/>
      </w:pPr>
    </w:p>
    <w:p>
      <w:pPr>
        <w:ind w:left="0" w:leftChars="0" w:firstLine="0" w:firstLineChars="0"/>
      </w:pPr>
      <w:r>
        <w:rPr>
          <w:rFonts w:hint="eastAsia" w:ascii="黑体" w:hAnsi="黑体" w:eastAsia="黑体" w:cs="黑体"/>
          <w:sz w:val="32"/>
          <w:szCs w:val="32"/>
          <w:lang w:eastAsia="zh-CN"/>
        </w:rPr>
        <w:t>四、</w:t>
      </w:r>
      <w:r>
        <w:rPr>
          <w:rFonts w:hint="eastAsia" w:ascii="黑体" w:hAnsi="黑体" w:eastAsia="黑体" w:cs="黑体"/>
          <w:sz w:val="32"/>
          <w:szCs w:val="32"/>
        </w:rPr>
        <w:t>《清远市“三线一单”生态环境分区管控方案》名词解释更新调整</w:t>
      </w:r>
    </w:p>
    <w:tbl>
      <w:tblPr>
        <w:tblStyle w:val="22"/>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1"/>
        <w:gridCol w:w="1430"/>
        <w:gridCol w:w="3162"/>
        <w:gridCol w:w="32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417" w:type="pct"/>
            <w:shd w:val="clear" w:color="auto" w:fill="auto"/>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lang w:bidi="ar"/>
              </w:rPr>
              <w:t>序号</w:t>
            </w:r>
          </w:p>
        </w:tc>
        <w:tc>
          <w:tcPr>
            <w:tcW w:w="839" w:type="pct"/>
            <w:shd w:val="clear" w:color="auto" w:fill="auto"/>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lang w:bidi="ar"/>
              </w:rPr>
              <w:t>章节</w:t>
            </w:r>
          </w:p>
        </w:tc>
        <w:tc>
          <w:tcPr>
            <w:tcW w:w="1855" w:type="pct"/>
            <w:shd w:val="clear" w:color="auto" w:fill="auto"/>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lang w:bidi="ar"/>
              </w:rPr>
              <w:t>调整前</w:t>
            </w:r>
          </w:p>
        </w:tc>
        <w:tc>
          <w:tcPr>
            <w:tcW w:w="1887" w:type="pct"/>
            <w:shd w:val="clear" w:color="auto" w:fill="auto"/>
            <w:vAlign w:val="center"/>
          </w:tcPr>
          <w:p>
            <w:pPr>
              <w:widowControl/>
              <w:spacing w:line="240" w:lineRule="auto"/>
              <w:ind w:firstLine="0" w:firstLineChars="0"/>
              <w:jc w:val="center"/>
              <w:textAlignment w:val="center"/>
              <w:rPr>
                <w:rFonts w:ascii="Times New Roman" w:hAnsi="Times New Roman" w:eastAsia="楷体_GB2312"/>
                <w:b/>
                <w:bCs/>
                <w:color w:val="000000"/>
                <w:szCs w:val="24"/>
              </w:rPr>
            </w:pPr>
            <w:r>
              <w:rPr>
                <w:rFonts w:ascii="Times New Roman" w:hAnsi="Times New Roman" w:eastAsia="楷体_GB2312"/>
                <w:b/>
                <w:bCs/>
                <w:color w:val="000000"/>
                <w:kern w:val="0"/>
                <w:szCs w:val="24"/>
                <w:lang w:bidi="ar"/>
              </w:rPr>
              <w:t>调整后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25" w:hRule="atLeast"/>
          <w:jc w:val="center"/>
        </w:trPr>
        <w:tc>
          <w:tcPr>
            <w:tcW w:w="417" w:type="pct"/>
            <w:shd w:val="clear" w:color="auto" w:fill="auto"/>
            <w:vAlign w:val="center"/>
          </w:tcPr>
          <w:p>
            <w:pPr>
              <w:widowControl/>
              <w:spacing w:line="240" w:lineRule="auto"/>
              <w:ind w:firstLine="0" w:firstLineChars="0"/>
              <w:jc w:val="center"/>
              <w:textAlignment w:val="center"/>
              <w:rPr>
                <w:rFonts w:ascii="Times New Roman" w:hAnsi="Times New Roman" w:eastAsia="宋体"/>
                <w:color w:val="000000"/>
                <w:sz w:val="20"/>
                <w:szCs w:val="20"/>
              </w:rPr>
            </w:pPr>
            <w:r>
              <w:rPr>
                <w:rFonts w:hint="eastAsia" w:ascii="Times New Roman" w:hAnsi="Times New Roman" w:eastAsia="宋体"/>
                <w:color w:val="000000"/>
                <w:sz w:val="20"/>
                <w:szCs w:val="20"/>
              </w:rPr>
              <w:t>1</w:t>
            </w:r>
          </w:p>
        </w:tc>
        <w:tc>
          <w:tcPr>
            <w:tcW w:w="839" w:type="pct"/>
            <w:shd w:val="clear" w:color="auto" w:fill="auto"/>
            <w:vAlign w:val="center"/>
          </w:tcPr>
          <w:p>
            <w:pPr>
              <w:widowControl/>
              <w:spacing w:line="240" w:lineRule="auto"/>
              <w:ind w:firstLine="0" w:firstLineChars="0"/>
              <w:jc w:val="center"/>
              <w:textAlignment w:val="center"/>
              <w:rPr>
                <w:rFonts w:ascii="楷体_GB2312" w:hAnsi="Times New Roman" w:eastAsia="楷体_GB2312"/>
                <w:color w:val="000000"/>
                <w:sz w:val="21"/>
                <w:szCs w:val="21"/>
              </w:rPr>
            </w:pPr>
            <w:r>
              <w:rPr>
                <w:rFonts w:hint="eastAsia" w:ascii="楷体_GB2312" w:hAnsi="Times New Roman" w:eastAsia="楷体_GB2312"/>
                <w:color w:val="000000"/>
                <w:kern w:val="0"/>
                <w:sz w:val="21"/>
                <w:szCs w:val="21"/>
                <w:lang w:bidi="ar"/>
              </w:rPr>
              <w:t>名词解释</w:t>
            </w:r>
          </w:p>
        </w:tc>
        <w:tc>
          <w:tcPr>
            <w:tcW w:w="1855" w:type="pct"/>
            <w:shd w:val="clear" w:color="auto" w:fill="auto"/>
            <w:vAlign w:val="center"/>
          </w:tcPr>
          <w:p>
            <w:pPr>
              <w:widowControl/>
              <w:spacing w:line="240" w:lineRule="auto"/>
              <w:ind w:firstLine="0" w:firstLineChars="0"/>
              <w:jc w:val="both"/>
              <w:textAlignment w:val="center"/>
              <w:rPr>
                <w:rFonts w:ascii="楷体_GB2312" w:hAnsi="Times New Roman" w:eastAsia="楷体_GB2312"/>
                <w:sz w:val="21"/>
                <w:szCs w:val="21"/>
              </w:rPr>
            </w:pPr>
            <w:r>
              <w:rPr>
                <w:rFonts w:hint="eastAsia" w:ascii="楷体_GB2312" w:hAnsi="Times New Roman" w:eastAsia="楷体_GB2312"/>
                <w:kern w:val="0"/>
                <w:sz w:val="21"/>
                <w:szCs w:val="21"/>
                <w:lang w:bidi="ar"/>
              </w:rPr>
              <w:t>11．低效产业：指清城区、清新区年均亩产税收低于80万的产业，其他县（市）参考《清远市招商引资项目遴选评审办法（试行）》。</w:t>
            </w:r>
          </w:p>
        </w:tc>
        <w:tc>
          <w:tcPr>
            <w:tcW w:w="1887" w:type="pct"/>
            <w:shd w:val="clear" w:color="auto" w:fill="auto"/>
            <w:vAlign w:val="center"/>
          </w:tcPr>
          <w:p>
            <w:pPr>
              <w:widowControl/>
              <w:spacing w:line="240" w:lineRule="auto"/>
              <w:ind w:firstLine="0" w:firstLineChars="0"/>
              <w:jc w:val="both"/>
              <w:textAlignment w:val="center"/>
              <w:rPr>
                <w:rFonts w:ascii="楷体_GB2312" w:hAnsi="Times New Roman" w:eastAsia="楷体_GB2312"/>
                <w:sz w:val="21"/>
                <w:szCs w:val="21"/>
              </w:rPr>
            </w:pPr>
            <w:r>
              <w:rPr>
                <w:rFonts w:hint="eastAsia" w:ascii="楷体_GB2312" w:hAnsi="Times New Roman" w:eastAsia="楷体_GB2312"/>
                <w:kern w:val="0"/>
                <w:sz w:val="21"/>
                <w:szCs w:val="21"/>
                <w:lang w:bidi="ar"/>
              </w:rPr>
              <w:t>11．低效产业：指清城区、清新区年均亩产税收低于</w:t>
            </w:r>
            <w:r>
              <w:rPr>
                <w:rFonts w:hint="eastAsia" w:ascii="楷体_GB2312" w:hAnsi="Times New Roman" w:eastAsia="楷体_GB2312"/>
                <w:b/>
                <w:bCs/>
                <w:kern w:val="0"/>
                <w:sz w:val="21"/>
                <w:szCs w:val="21"/>
                <w:u w:val="single"/>
                <w:lang w:bidi="ar"/>
              </w:rPr>
              <w:t>市和所在区域的招商引资遴选标准</w:t>
            </w:r>
            <w:r>
              <w:rPr>
                <w:rFonts w:hint="eastAsia" w:ascii="楷体_GB2312" w:hAnsi="Times New Roman" w:eastAsia="楷体_GB2312"/>
                <w:kern w:val="0"/>
                <w:sz w:val="21"/>
                <w:szCs w:val="21"/>
                <w:lang w:bidi="ar"/>
              </w:rPr>
              <w:t>的产业，其他县（市）参考《清远市招商引资项目遴选评审办法（试行）》。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39" w:hRule="atLeast"/>
          <w:jc w:val="center"/>
        </w:trPr>
        <w:tc>
          <w:tcPr>
            <w:tcW w:w="417" w:type="pct"/>
            <w:shd w:val="clear" w:color="auto" w:fill="auto"/>
            <w:vAlign w:val="center"/>
          </w:tcPr>
          <w:p>
            <w:pPr>
              <w:widowControl/>
              <w:spacing w:line="240" w:lineRule="auto"/>
              <w:ind w:firstLine="0" w:firstLineChars="0"/>
              <w:jc w:val="center"/>
              <w:textAlignment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p>
        </w:tc>
        <w:tc>
          <w:tcPr>
            <w:tcW w:w="839" w:type="pct"/>
            <w:shd w:val="clear" w:color="auto" w:fill="auto"/>
            <w:vAlign w:val="center"/>
          </w:tcPr>
          <w:p>
            <w:pPr>
              <w:widowControl/>
              <w:spacing w:line="240" w:lineRule="auto"/>
              <w:ind w:firstLine="0" w:firstLineChars="0"/>
              <w:jc w:val="center"/>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名词解释</w:t>
            </w:r>
          </w:p>
        </w:tc>
        <w:tc>
          <w:tcPr>
            <w:tcW w:w="1855" w:type="pct"/>
            <w:shd w:val="clear" w:color="auto" w:fill="auto"/>
            <w:vAlign w:val="center"/>
          </w:tcPr>
          <w:p>
            <w:pPr>
              <w:widowControl/>
              <w:spacing w:line="240" w:lineRule="auto"/>
              <w:ind w:firstLine="0" w:firstLineChars="0"/>
              <w:jc w:val="both"/>
              <w:textAlignment w:val="center"/>
              <w:rPr>
                <w:rFonts w:ascii="楷体_GB2312" w:hAnsi="Times New Roman" w:eastAsia="楷体_GB2312"/>
                <w:color w:val="000000"/>
                <w:kern w:val="0"/>
                <w:sz w:val="21"/>
                <w:szCs w:val="21"/>
                <w:lang w:bidi="ar"/>
              </w:rPr>
            </w:pPr>
            <w:r>
              <w:rPr>
                <w:rFonts w:hint="eastAsia" w:ascii="楷体_GB2312" w:hAnsi="Times New Roman" w:eastAsia="楷体_GB2312"/>
                <w:color w:val="000000"/>
                <w:kern w:val="0"/>
                <w:sz w:val="21"/>
                <w:szCs w:val="21"/>
                <w:lang w:bidi="ar"/>
              </w:rPr>
              <w:t>/</w:t>
            </w:r>
          </w:p>
        </w:tc>
        <w:tc>
          <w:tcPr>
            <w:tcW w:w="1887" w:type="pct"/>
            <w:shd w:val="clear" w:color="auto" w:fill="auto"/>
            <w:vAlign w:val="center"/>
          </w:tcPr>
          <w:p>
            <w:pPr>
              <w:widowControl/>
              <w:spacing w:line="240" w:lineRule="auto"/>
              <w:ind w:firstLine="0" w:firstLineChars="0"/>
              <w:jc w:val="both"/>
              <w:textAlignment w:val="center"/>
              <w:rPr>
                <w:rFonts w:ascii="楷体_GB2312" w:hAnsi="Times New Roman" w:eastAsia="楷体_GB2312"/>
                <w:b/>
                <w:bCs/>
                <w:color w:val="000000"/>
                <w:kern w:val="0"/>
                <w:sz w:val="21"/>
                <w:szCs w:val="21"/>
                <w:lang w:bidi="ar"/>
              </w:rPr>
            </w:pPr>
            <w:r>
              <w:rPr>
                <w:rFonts w:hint="eastAsia" w:ascii="楷体_GB2312" w:hAnsi="Times New Roman" w:eastAsia="楷体_GB2312"/>
                <w:b/>
                <w:bCs/>
                <w:color w:val="000000"/>
                <w:kern w:val="0"/>
                <w:sz w:val="21"/>
                <w:szCs w:val="21"/>
                <w:lang w:bidi="ar"/>
              </w:rPr>
              <w:t>新增：</w:t>
            </w:r>
          </w:p>
          <w:p>
            <w:pPr>
              <w:widowControl/>
              <w:spacing w:line="240" w:lineRule="auto"/>
              <w:ind w:firstLine="0" w:firstLineChars="0"/>
              <w:jc w:val="both"/>
              <w:textAlignment w:val="center"/>
              <w:rPr>
                <w:rFonts w:ascii="楷体_GB2312" w:hAnsi="Times New Roman" w:eastAsia="楷体_GB2312"/>
                <w:b/>
                <w:bCs/>
                <w:color w:val="000000"/>
                <w:kern w:val="0"/>
                <w:sz w:val="21"/>
                <w:szCs w:val="21"/>
                <w:u w:val="single"/>
                <w:lang w:bidi="ar"/>
              </w:rPr>
            </w:pPr>
            <w:r>
              <w:rPr>
                <w:rFonts w:hint="eastAsia" w:ascii="楷体_GB2312" w:hAnsi="Times New Roman" w:eastAsia="楷体_GB2312"/>
                <w:b/>
                <w:bCs/>
                <w:color w:val="000000"/>
                <w:kern w:val="0"/>
                <w:sz w:val="21"/>
                <w:szCs w:val="21"/>
                <w:u w:val="single"/>
                <w:lang w:bidi="ar"/>
              </w:rPr>
              <w:t>13.家具行业：本方案所指家具行业，不包括仅涉及粉末涂料、分割、组装及机加工工艺的家具生产项目。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90" w:hRule="atLeast"/>
          <w:jc w:val="center"/>
        </w:trPr>
        <w:tc>
          <w:tcPr>
            <w:tcW w:w="417" w:type="pct"/>
            <w:shd w:val="clear" w:color="auto" w:fill="auto"/>
            <w:vAlign w:val="center"/>
          </w:tcPr>
          <w:p>
            <w:pPr>
              <w:widowControl/>
              <w:spacing w:line="240" w:lineRule="auto"/>
              <w:ind w:firstLine="0" w:firstLineChars="0"/>
              <w:jc w:val="center"/>
              <w:textAlignment w:val="center"/>
              <w:rPr>
                <w:rFonts w:ascii="Times New Roman" w:hAnsi="Times New Roman" w:eastAsia="宋体"/>
                <w:sz w:val="21"/>
                <w:szCs w:val="21"/>
              </w:rPr>
            </w:pPr>
            <w:r>
              <w:rPr>
                <w:rFonts w:ascii="Times New Roman" w:hAnsi="Times New Roman" w:eastAsia="宋体"/>
                <w:sz w:val="21"/>
                <w:szCs w:val="21"/>
              </w:rPr>
              <w:t>3</w:t>
            </w:r>
          </w:p>
        </w:tc>
        <w:tc>
          <w:tcPr>
            <w:tcW w:w="839" w:type="pct"/>
            <w:shd w:val="clear" w:color="auto" w:fill="auto"/>
            <w:vAlign w:val="center"/>
          </w:tcPr>
          <w:p>
            <w:pPr>
              <w:widowControl/>
              <w:spacing w:line="240" w:lineRule="auto"/>
              <w:ind w:firstLine="0" w:firstLineChars="0"/>
              <w:jc w:val="center"/>
              <w:textAlignment w:val="center"/>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名词解释</w:t>
            </w:r>
          </w:p>
        </w:tc>
        <w:tc>
          <w:tcPr>
            <w:tcW w:w="1855" w:type="pct"/>
            <w:shd w:val="clear" w:color="auto" w:fill="auto"/>
            <w:vAlign w:val="center"/>
          </w:tcPr>
          <w:p>
            <w:pPr>
              <w:widowControl/>
              <w:spacing w:line="240" w:lineRule="auto"/>
              <w:ind w:firstLine="0" w:firstLineChars="0"/>
              <w:jc w:val="both"/>
              <w:textAlignment w:val="center"/>
              <w:rPr>
                <w:rFonts w:ascii="楷体_GB2312" w:hAnsi="Times New Roman" w:eastAsia="楷体_GB2312"/>
                <w:kern w:val="0"/>
                <w:sz w:val="21"/>
                <w:szCs w:val="21"/>
                <w:lang w:bidi="ar"/>
              </w:rPr>
            </w:pPr>
            <w:r>
              <w:rPr>
                <w:rFonts w:ascii="楷体_GB2312" w:hAnsi="Times New Roman" w:eastAsia="楷体_GB2312"/>
                <w:kern w:val="0"/>
                <w:sz w:val="21"/>
                <w:szCs w:val="21"/>
                <w:lang w:bidi="ar"/>
              </w:rPr>
              <w:t>/</w:t>
            </w:r>
          </w:p>
        </w:tc>
        <w:tc>
          <w:tcPr>
            <w:tcW w:w="1887" w:type="pct"/>
            <w:shd w:val="clear" w:color="auto" w:fill="auto"/>
            <w:vAlign w:val="center"/>
          </w:tcPr>
          <w:p>
            <w:pPr>
              <w:widowControl/>
              <w:spacing w:line="240" w:lineRule="auto"/>
              <w:ind w:firstLine="0" w:firstLineChars="0"/>
              <w:jc w:val="both"/>
              <w:textAlignment w:val="center"/>
              <w:rPr>
                <w:rFonts w:ascii="楷体_GB2312" w:hAnsi="Times New Roman" w:eastAsia="楷体_GB2312"/>
                <w:b/>
                <w:bCs/>
                <w:kern w:val="0"/>
                <w:sz w:val="21"/>
                <w:szCs w:val="21"/>
                <w:lang w:bidi="ar"/>
              </w:rPr>
            </w:pPr>
            <w:r>
              <w:rPr>
                <w:rFonts w:hint="eastAsia" w:ascii="楷体_GB2312" w:hAnsi="Times New Roman" w:eastAsia="楷体_GB2312"/>
                <w:b/>
                <w:bCs/>
                <w:kern w:val="0"/>
                <w:sz w:val="21"/>
                <w:szCs w:val="21"/>
                <w:lang w:bidi="ar"/>
              </w:rPr>
              <w:t>新增：</w:t>
            </w:r>
          </w:p>
          <w:p>
            <w:pPr>
              <w:widowControl/>
              <w:spacing w:line="240" w:lineRule="auto"/>
              <w:ind w:firstLine="0" w:firstLineChars="0"/>
              <w:jc w:val="both"/>
              <w:textAlignment w:val="center"/>
              <w:rPr>
                <w:rFonts w:ascii="楷体_GB2312" w:hAnsi="Times New Roman" w:eastAsia="楷体_GB2312"/>
                <w:b/>
                <w:bCs/>
                <w:kern w:val="0"/>
                <w:sz w:val="21"/>
                <w:szCs w:val="21"/>
                <w:u w:val="single"/>
                <w:lang w:bidi="ar"/>
              </w:rPr>
            </w:pPr>
            <w:r>
              <w:rPr>
                <w:rFonts w:hint="eastAsia" w:ascii="楷体_GB2312" w:hAnsi="Times New Roman" w:eastAsia="楷体_GB2312"/>
                <w:b/>
                <w:bCs/>
                <w:kern w:val="0"/>
                <w:sz w:val="21"/>
                <w:szCs w:val="21"/>
                <w:u w:val="single"/>
                <w:lang w:bidi="ar"/>
              </w:rPr>
              <w:t>14.制药行业：本方案所指的制药行业，不包括饮片加工、仅水提的中药加工项目以及不涉及V</w:t>
            </w:r>
            <w:r>
              <w:rPr>
                <w:rFonts w:ascii="楷体_GB2312" w:hAnsi="Times New Roman" w:eastAsia="楷体_GB2312"/>
                <w:b/>
                <w:bCs/>
                <w:kern w:val="0"/>
                <w:sz w:val="21"/>
                <w:szCs w:val="21"/>
                <w:u w:val="single"/>
                <w:lang w:bidi="ar"/>
              </w:rPr>
              <w:t>OC</w:t>
            </w:r>
            <w:r>
              <w:rPr>
                <w:rFonts w:hint="eastAsia" w:ascii="楷体_GB2312" w:hAnsi="Times New Roman" w:eastAsia="楷体_GB2312"/>
                <w:b/>
                <w:bCs/>
                <w:kern w:val="0"/>
                <w:sz w:val="21"/>
                <w:szCs w:val="21"/>
                <w:u w:val="single"/>
                <w:lang w:bidi="ar"/>
              </w:rPr>
              <w:t>s单纯药品复配、分装新建、扩建项目。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0" w:hRule="atLeast"/>
          <w:jc w:val="center"/>
        </w:trPr>
        <w:tc>
          <w:tcPr>
            <w:tcW w:w="417" w:type="pct"/>
            <w:shd w:val="clear" w:color="auto" w:fill="auto"/>
            <w:vAlign w:val="center"/>
          </w:tcPr>
          <w:p>
            <w:pPr>
              <w:widowControl/>
              <w:spacing w:line="240" w:lineRule="auto"/>
              <w:ind w:firstLine="0" w:firstLineChars="0"/>
              <w:jc w:val="center"/>
              <w:textAlignment w:val="center"/>
              <w:rPr>
                <w:rFonts w:ascii="Times New Roman" w:hAnsi="Times New Roman" w:eastAsia="宋体"/>
                <w:sz w:val="21"/>
                <w:szCs w:val="21"/>
              </w:rPr>
            </w:pPr>
            <w:r>
              <w:rPr>
                <w:rFonts w:ascii="Times New Roman" w:hAnsi="Times New Roman" w:eastAsia="宋体"/>
                <w:sz w:val="21"/>
                <w:szCs w:val="21"/>
              </w:rPr>
              <w:t>4</w:t>
            </w:r>
          </w:p>
        </w:tc>
        <w:tc>
          <w:tcPr>
            <w:tcW w:w="839" w:type="pct"/>
            <w:shd w:val="clear" w:color="auto" w:fill="auto"/>
            <w:vAlign w:val="center"/>
          </w:tcPr>
          <w:p>
            <w:pPr>
              <w:widowControl/>
              <w:spacing w:line="240" w:lineRule="auto"/>
              <w:ind w:firstLine="0" w:firstLineChars="0"/>
              <w:jc w:val="center"/>
              <w:textAlignment w:val="center"/>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名词解释</w:t>
            </w:r>
          </w:p>
        </w:tc>
        <w:tc>
          <w:tcPr>
            <w:tcW w:w="1855" w:type="pct"/>
            <w:shd w:val="clear" w:color="auto" w:fill="auto"/>
            <w:vAlign w:val="center"/>
          </w:tcPr>
          <w:p>
            <w:pPr>
              <w:widowControl/>
              <w:spacing w:line="240" w:lineRule="auto"/>
              <w:ind w:firstLine="0" w:firstLineChars="0"/>
              <w:jc w:val="both"/>
              <w:textAlignment w:val="center"/>
              <w:rPr>
                <w:rFonts w:ascii="楷体_GB2312" w:hAnsi="Times New Roman" w:eastAsia="楷体_GB2312"/>
                <w:kern w:val="0"/>
                <w:sz w:val="21"/>
                <w:szCs w:val="21"/>
                <w:lang w:bidi="ar"/>
              </w:rPr>
            </w:pPr>
            <w:r>
              <w:rPr>
                <w:rFonts w:hint="eastAsia" w:ascii="楷体_GB2312" w:hAnsi="Times New Roman" w:eastAsia="楷体_GB2312"/>
                <w:kern w:val="0"/>
                <w:sz w:val="21"/>
                <w:szCs w:val="21"/>
                <w:lang w:bidi="ar"/>
              </w:rPr>
              <w:t>/</w:t>
            </w:r>
          </w:p>
        </w:tc>
        <w:tc>
          <w:tcPr>
            <w:tcW w:w="1887" w:type="pct"/>
            <w:shd w:val="clear" w:color="auto" w:fill="auto"/>
            <w:vAlign w:val="center"/>
          </w:tcPr>
          <w:p>
            <w:pPr>
              <w:widowControl/>
              <w:spacing w:line="240" w:lineRule="auto"/>
              <w:ind w:firstLine="0" w:firstLineChars="0"/>
              <w:jc w:val="both"/>
              <w:textAlignment w:val="center"/>
              <w:rPr>
                <w:rFonts w:ascii="楷体_GB2312" w:hAnsi="Times New Roman" w:eastAsia="楷体_GB2312"/>
                <w:b/>
                <w:bCs/>
                <w:kern w:val="0"/>
                <w:sz w:val="21"/>
                <w:szCs w:val="21"/>
                <w:lang w:bidi="ar"/>
              </w:rPr>
            </w:pPr>
            <w:r>
              <w:rPr>
                <w:rFonts w:hint="eastAsia" w:ascii="楷体_GB2312" w:hAnsi="Times New Roman" w:eastAsia="楷体_GB2312"/>
                <w:b/>
                <w:bCs/>
                <w:kern w:val="0"/>
                <w:sz w:val="21"/>
                <w:szCs w:val="21"/>
                <w:lang w:bidi="ar"/>
              </w:rPr>
              <w:t>新增：</w:t>
            </w:r>
          </w:p>
          <w:p>
            <w:pPr>
              <w:widowControl/>
              <w:spacing w:line="240" w:lineRule="auto"/>
              <w:ind w:firstLine="0" w:firstLineChars="0"/>
              <w:jc w:val="both"/>
              <w:textAlignment w:val="center"/>
              <w:rPr>
                <w:rFonts w:ascii="楷体_GB2312" w:hAnsi="Times New Roman" w:eastAsia="楷体_GB2312"/>
                <w:b/>
                <w:bCs/>
                <w:kern w:val="0"/>
                <w:sz w:val="21"/>
                <w:szCs w:val="21"/>
                <w:u w:val="single"/>
                <w:lang w:bidi="ar"/>
              </w:rPr>
            </w:pPr>
            <w:r>
              <w:rPr>
                <w:rFonts w:hint="eastAsia" w:ascii="楷体_GB2312" w:hAnsi="Times New Roman" w:eastAsia="楷体_GB2312"/>
                <w:b/>
                <w:bCs/>
                <w:kern w:val="0"/>
                <w:sz w:val="21"/>
                <w:szCs w:val="21"/>
                <w:u w:val="single"/>
                <w:lang w:bidi="ar"/>
              </w:rPr>
              <w:t>1</w:t>
            </w:r>
            <w:r>
              <w:rPr>
                <w:rFonts w:ascii="楷体_GB2312" w:hAnsi="Times New Roman" w:eastAsia="楷体_GB2312"/>
                <w:b/>
                <w:bCs/>
                <w:kern w:val="0"/>
                <w:sz w:val="21"/>
                <w:szCs w:val="21"/>
                <w:u w:val="single"/>
                <w:lang w:bidi="ar"/>
              </w:rPr>
              <w:t>5.</w:t>
            </w:r>
            <w:r>
              <w:rPr>
                <w:rFonts w:hint="eastAsia" w:ascii="楷体_GB2312" w:hAnsi="Times New Roman" w:eastAsia="楷体_GB2312"/>
                <w:b/>
                <w:bCs/>
                <w:kern w:val="0"/>
                <w:sz w:val="21"/>
                <w:szCs w:val="21"/>
                <w:u w:val="single"/>
                <w:lang w:bidi="ar"/>
              </w:rPr>
              <w:t>工业企业匹配度：是指将企业生产所用的工业用地、用电、用能等要素资源与增加值、税收等产出效益进行匹配分析，进而对行业、企业发展情况进行综合评价的机制。按照综合评价机制将企业分为A、B、C、D四个等级（即发展优等企业、发展良好企业、发展一般企业、发展滞后企业）。</w:t>
            </w:r>
          </w:p>
        </w:tc>
      </w:tr>
    </w:tbl>
    <w:p>
      <w:pPr>
        <w:ind w:firstLine="480"/>
      </w:pPr>
    </w:p>
    <w:p>
      <w:pPr>
        <w:ind w:firstLine="480"/>
      </w:pPr>
    </w:p>
    <w:sectPr>
      <w:footerReference r:id="rId12" w:type="default"/>
      <w:pgSz w:w="11906" w:h="16838"/>
      <w:pgMar w:top="1440" w:right="1800" w:bottom="1440" w:left="1800" w:header="851" w:footer="992" w:gutter="0"/>
      <w:pgNumType w:fmt="numberInDash"/>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华文仿宋">
    <w:altName w:val="汉仪仿宋简"/>
    <w:panose1 w:val="02010600040101010101"/>
    <w:charset w:val="86"/>
    <w:family w:val="auto"/>
    <w:pitch w:val="default"/>
    <w:sig w:usb0="00000000" w:usb1="00000000" w:usb2="00000010" w:usb3="00000000" w:csb0="0004009F" w:csb1="00000000"/>
  </w:font>
  <w:font w:name="Tahoma">
    <w:altName w:val="Droid Sans"/>
    <w:panose1 w:val="020B0604030504040204"/>
    <w:charset w:val="00"/>
    <w:family w:val="swiss"/>
    <w:pitch w:val="default"/>
    <w:sig w:usb0="00000000" w:usb1="00000000" w:usb2="00000029" w:usb3="00000000" w:csb0="000101F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9E6D9F"/>
    <w:multiLevelType w:val="multilevel"/>
    <w:tmpl w:val="549E6D9F"/>
    <w:lvl w:ilvl="0" w:tentative="0">
      <w:start w:val="1"/>
      <w:numFmt w:val="chineseCountingThousand"/>
      <w:pStyle w:val="2"/>
      <w:suff w:val="nothing"/>
      <w:lvlText w:val="%1、"/>
      <w:lvlJc w:val="left"/>
      <w:pPr>
        <w:ind w:left="0" w:firstLine="0"/>
      </w:pPr>
      <w:rPr>
        <w:rFonts w:hint="eastAsia"/>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CA"/>
    <w:rsid w:val="000107CA"/>
    <w:rsid w:val="00013EBF"/>
    <w:rsid w:val="00025BDC"/>
    <w:rsid w:val="00026E15"/>
    <w:rsid w:val="00040877"/>
    <w:rsid w:val="00051809"/>
    <w:rsid w:val="00052B3D"/>
    <w:rsid w:val="000556EE"/>
    <w:rsid w:val="000A626F"/>
    <w:rsid w:val="00140327"/>
    <w:rsid w:val="001B5CF6"/>
    <w:rsid w:val="001C0C58"/>
    <w:rsid w:val="001F64E1"/>
    <w:rsid w:val="00217586"/>
    <w:rsid w:val="0022437A"/>
    <w:rsid w:val="00236AA8"/>
    <w:rsid w:val="00281610"/>
    <w:rsid w:val="00282106"/>
    <w:rsid w:val="0029331C"/>
    <w:rsid w:val="002A6102"/>
    <w:rsid w:val="002A6ACA"/>
    <w:rsid w:val="002C6540"/>
    <w:rsid w:val="002E32A4"/>
    <w:rsid w:val="002F19FE"/>
    <w:rsid w:val="00303A7A"/>
    <w:rsid w:val="003109B6"/>
    <w:rsid w:val="00355C43"/>
    <w:rsid w:val="0037005A"/>
    <w:rsid w:val="0038054A"/>
    <w:rsid w:val="003C0456"/>
    <w:rsid w:val="004061FF"/>
    <w:rsid w:val="00411F59"/>
    <w:rsid w:val="00465548"/>
    <w:rsid w:val="00467180"/>
    <w:rsid w:val="00477310"/>
    <w:rsid w:val="00493218"/>
    <w:rsid w:val="00497D7D"/>
    <w:rsid w:val="004B185F"/>
    <w:rsid w:val="004B1DEC"/>
    <w:rsid w:val="004D1D97"/>
    <w:rsid w:val="004D5DD4"/>
    <w:rsid w:val="0050609D"/>
    <w:rsid w:val="005448F1"/>
    <w:rsid w:val="005556F6"/>
    <w:rsid w:val="00596CCE"/>
    <w:rsid w:val="005B59C9"/>
    <w:rsid w:val="005B5ECE"/>
    <w:rsid w:val="005C50CB"/>
    <w:rsid w:val="005C62AA"/>
    <w:rsid w:val="005E0454"/>
    <w:rsid w:val="005E5133"/>
    <w:rsid w:val="00606C7D"/>
    <w:rsid w:val="00615E03"/>
    <w:rsid w:val="0061626E"/>
    <w:rsid w:val="00683B0D"/>
    <w:rsid w:val="006905C2"/>
    <w:rsid w:val="006A0FD8"/>
    <w:rsid w:val="006A4C22"/>
    <w:rsid w:val="006B200F"/>
    <w:rsid w:val="006D0250"/>
    <w:rsid w:val="006E31EE"/>
    <w:rsid w:val="0070095F"/>
    <w:rsid w:val="00706918"/>
    <w:rsid w:val="00740713"/>
    <w:rsid w:val="00740724"/>
    <w:rsid w:val="0074750A"/>
    <w:rsid w:val="0079430D"/>
    <w:rsid w:val="007A51E0"/>
    <w:rsid w:val="007B0DF3"/>
    <w:rsid w:val="007C2B81"/>
    <w:rsid w:val="007D098F"/>
    <w:rsid w:val="008043CA"/>
    <w:rsid w:val="00810E82"/>
    <w:rsid w:val="00815886"/>
    <w:rsid w:val="0081604B"/>
    <w:rsid w:val="00830AA2"/>
    <w:rsid w:val="0083419D"/>
    <w:rsid w:val="008C7563"/>
    <w:rsid w:val="008D1644"/>
    <w:rsid w:val="008E0B26"/>
    <w:rsid w:val="00915A64"/>
    <w:rsid w:val="009574F3"/>
    <w:rsid w:val="00974C3E"/>
    <w:rsid w:val="00976CA3"/>
    <w:rsid w:val="0099325C"/>
    <w:rsid w:val="009A08D7"/>
    <w:rsid w:val="009A386A"/>
    <w:rsid w:val="009B32B9"/>
    <w:rsid w:val="009D168B"/>
    <w:rsid w:val="00A0255C"/>
    <w:rsid w:val="00A40868"/>
    <w:rsid w:val="00A73F06"/>
    <w:rsid w:val="00A9671F"/>
    <w:rsid w:val="00AA54C0"/>
    <w:rsid w:val="00B3397E"/>
    <w:rsid w:val="00B35538"/>
    <w:rsid w:val="00B63B56"/>
    <w:rsid w:val="00B6652F"/>
    <w:rsid w:val="00B66D6B"/>
    <w:rsid w:val="00BA0013"/>
    <w:rsid w:val="00BB0704"/>
    <w:rsid w:val="00BC6055"/>
    <w:rsid w:val="00BE3E65"/>
    <w:rsid w:val="00BF08AD"/>
    <w:rsid w:val="00BF2CD6"/>
    <w:rsid w:val="00C2508F"/>
    <w:rsid w:val="00C3293E"/>
    <w:rsid w:val="00C42AFC"/>
    <w:rsid w:val="00C5651C"/>
    <w:rsid w:val="00C60D5B"/>
    <w:rsid w:val="00C954C0"/>
    <w:rsid w:val="00CA7147"/>
    <w:rsid w:val="00CD0E50"/>
    <w:rsid w:val="00CD63EE"/>
    <w:rsid w:val="00CF3B5C"/>
    <w:rsid w:val="00D011D6"/>
    <w:rsid w:val="00D1455A"/>
    <w:rsid w:val="00D279D4"/>
    <w:rsid w:val="00D54257"/>
    <w:rsid w:val="00D74701"/>
    <w:rsid w:val="00D76A5B"/>
    <w:rsid w:val="00D9290D"/>
    <w:rsid w:val="00DA1DFE"/>
    <w:rsid w:val="00E16A16"/>
    <w:rsid w:val="00E30D76"/>
    <w:rsid w:val="00E33FFD"/>
    <w:rsid w:val="00E47DF8"/>
    <w:rsid w:val="00E63FF8"/>
    <w:rsid w:val="00E92532"/>
    <w:rsid w:val="00E96DF2"/>
    <w:rsid w:val="00EA4899"/>
    <w:rsid w:val="00EC0F53"/>
    <w:rsid w:val="00EF6E3A"/>
    <w:rsid w:val="00F17D1B"/>
    <w:rsid w:val="00F21BF9"/>
    <w:rsid w:val="00F37D41"/>
    <w:rsid w:val="00F45748"/>
    <w:rsid w:val="00F51E62"/>
    <w:rsid w:val="00F81B73"/>
    <w:rsid w:val="00FE1F80"/>
    <w:rsid w:val="18EB4A50"/>
    <w:rsid w:val="1B7FB813"/>
    <w:rsid w:val="377DAEA7"/>
    <w:rsid w:val="4FF727E5"/>
    <w:rsid w:val="5EBB306D"/>
    <w:rsid w:val="5F7BFDE4"/>
    <w:rsid w:val="6B7C34E6"/>
    <w:rsid w:val="71DD40AD"/>
    <w:rsid w:val="7BFD1F69"/>
    <w:rsid w:val="9E7F88CB"/>
    <w:rsid w:val="9FD64291"/>
    <w:rsid w:val="B2F60158"/>
    <w:rsid w:val="B2FD3FB1"/>
    <w:rsid w:val="B3BF8D23"/>
    <w:rsid w:val="BF5A3ED6"/>
    <w:rsid w:val="DB5CA7CD"/>
    <w:rsid w:val="F7FEF1F5"/>
    <w:rsid w:val="FADF42ED"/>
    <w:rsid w:val="FB5FFB8D"/>
    <w:rsid w:val="FB89C0D3"/>
    <w:rsid w:val="FDFA6A7D"/>
    <w:rsid w:val="FE3D9857"/>
    <w:rsid w:val="FF9EEADE"/>
    <w:rsid w:val="FFFF0B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等线" w:hAnsi="等线" w:eastAsia="仿宋" w:cs="Times New Roman"/>
      <w:kern w:val="2"/>
      <w:sz w:val="24"/>
      <w:szCs w:val="22"/>
      <w:lang w:val="en-US" w:eastAsia="zh-CN" w:bidi="ar-SA"/>
    </w:rPr>
  </w:style>
  <w:style w:type="paragraph" w:styleId="2">
    <w:name w:val="heading 1"/>
    <w:basedOn w:val="1"/>
    <w:next w:val="1"/>
    <w:link w:val="36"/>
    <w:qFormat/>
    <w:uiPriority w:val="9"/>
    <w:pPr>
      <w:keepNext/>
      <w:keepLines/>
      <w:numPr>
        <w:ilvl w:val="0"/>
        <w:numId w:val="1"/>
      </w:numPr>
      <w:ind w:firstLineChars="0"/>
      <w:jc w:val="both"/>
      <w:outlineLvl w:val="0"/>
    </w:pPr>
    <w:rPr>
      <w:rFonts w:eastAsia="黑体"/>
      <w:b/>
      <w:bCs/>
      <w:kern w:val="44"/>
      <w:sz w:val="32"/>
      <w:szCs w:val="44"/>
    </w:rPr>
  </w:style>
  <w:style w:type="paragraph" w:styleId="3">
    <w:name w:val="heading 2"/>
    <w:basedOn w:val="1"/>
    <w:next w:val="1"/>
    <w:link w:val="39"/>
    <w:unhideWhenUsed/>
    <w:qFormat/>
    <w:uiPriority w:val="9"/>
    <w:pPr>
      <w:keepNext/>
      <w:keepLines/>
      <w:ind w:firstLine="0" w:firstLineChars="0"/>
      <w:jc w:val="both"/>
      <w:outlineLvl w:val="1"/>
    </w:pPr>
    <w:rPr>
      <w:rFonts w:ascii="Times New Roman" w:hAnsi="Times New Roman" w:eastAsia="楷体_GB2312"/>
      <w:b/>
      <w:bCs/>
      <w:sz w:val="36"/>
      <w:szCs w:val="32"/>
    </w:rPr>
  </w:style>
  <w:style w:type="paragraph" w:styleId="4">
    <w:name w:val="heading 3"/>
    <w:basedOn w:val="1"/>
    <w:next w:val="1"/>
    <w:link w:val="40"/>
    <w:unhideWhenUsed/>
    <w:qFormat/>
    <w:uiPriority w:val="9"/>
    <w:pPr>
      <w:keepNext/>
      <w:keepLines/>
      <w:ind w:firstLine="0" w:firstLineChars="0"/>
      <w:jc w:val="both"/>
      <w:outlineLvl w:val="2"/>
    </w:pPr>
    <w:rPr>
      <w:rFonts w:ascii="Times New Roman" w:hAnsi="Times New Roman" w:eastAsia="仿宋_GB2312"/>
      <w:b/>
      <w:bCs/>
      <w:sz w:val="32"/>
      <w:szCs w:val="32"/>
    </w:rPr>
  </w:style>
  <w:style w:type="paragraph" w:styleId="5">
    <w:name w:val="heading 4"/>
    <w:basedOn w:val="1"/>
    <w:next w:val="1"/>
    <w:link w:val="41"/>
    <w:qFormat/>
    <w:uiPriority w:val="9"/>
    <w:pPr>
      <w:keepNext/>
      <w:keepLines/>
      <w:widowControl/>
      <w:ind w:firstLine="0" w:firstLineChars="0"/>
      <w:outlineLvl w:val="3"/>
    </w:pPr>
    <w:rPr>
      <w:rFonts w:ascii="Times New Roman" w:hAnsi="Times New Roman" w:eastAsia="仿宋_GB2312"/>
      <w:b/>
      <w:bCs/>
      <w:kern w:val="0"/>
      <w:sz w:val="32"/>
      <w:szCs w:val="28"/>
    </w:rPr>
  </w:style>
  <w:style w:type="paragraph" w:styleId="6">
    <w:name w:val="heading 5"/>
    <w:basedOn w:val="1"/>
    <w:next w:val="1"/>
    <w:link w:val="42"/>
    <w:unhideWhenUsed/>
    <w:qFormat/>
    <w:uiPriority w:val="9"/>
    <w:pPr>
      <w:keepNext/>
      <w:keepLines/>
      <w:jc w:val="both"/>
      <w:outlineLvl w:val="4"/>
    </w:pPr>
    <w:rPr>
      <w:rFonts w:ascii="Times New Roman" w:hAnsi="Times New Roman" w:eastAsia="仿宋_GB2312"/>
      <w:b/>
      <w:bCs/>
      <w:sz w:val="32"/>
      <w:szCs w:val="28"/>
    </w:rPr>
  </w:style>
  <w:style w:type="paragraph" w:styleId="7">
    <w:name w:val="heading 6"/>
    <w:basedOn w:val="1"/>
    <w:next w:val="1"/>
    <w:link w:val="43"/>
    <w:unhideWhenUsed/>
    <w:qFormat/>
    <w:uiPriority w:val="9"/>
    <w:pPr>
      <w:keepNext/>
      <w:keepLines/>
      <w:spacing w:before="240" w:after="64" w:line="320" w:lineRule="auto"/>
      <w:outlineLvl w:val="5"/>
    </w:pPr>
    <w:rPr>
      <w:rFonts w:ascii="等线 Light" w:hAnsi="等线 Light" w:eastAsia="等线 Light"/>
      <w:b/>
      <w:bCs/>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autoSpaceDE w:val="0"/>
      <w:autoSpaceDN w:val="0"/>
      <w:ind w:firstLine="420" w:firstLineChars="0"/>
    </w:pPr>
    <w:rPr>
      <w:rFonts w:ascii="Times New Roman" w:hAnsi="Times New Roman" w:eastAsia="华文仿宋" w:cs="宋体"/>
      <w:kern w:val="0"/>
      <w:szCs w:val="20"/>
      <w:lang w:eastAsia="en-US"/>
    </w:rPr>
  </w:style>
  <w:style w:type="paragraph" w:styleId="9">
    <w:name w:val="caption"/>
    <w:basedOn w:val="1"/>
    <w:next w:val="1"/>
    <w:link w:val="54"/>
    <w:unhideWhenUsed/>
    <w:qFormat/>
    <w:uiPriority w:val="0"/>
    <w:pPr>
      <w:ind w:firstLine="0" w:firstLineChars="0"/>
      <w:jc w:val="center"/>
    </w:pPr>
    <w:rPr>
      <w:rFonts w:ascii="Times New Roman" w:hAnsi="Times New Roman" w:eastAsia="黑体"/>
      <w:b/>
      <w:szCs w:val="20"/>
    </w:rPr>
  </w:style>
  <w:style w:type="paragraph" w:styleId="10">
    <w:name w:val="Document Map"/>
    <w:basedOn w:val="1"/>
    <w:link w:val="60"/>
    <w:semiHidden/>
    <w:unhideWhenUsed/>
    <w:qFormat/>
    <w:uiPriority w:val="99"/>
    <w:rPr>
      <w:rFonts w:ascii="宋体" w:hAnsi="Times New Roman" w:eastAsia="宋体"/>
      <w:sz w:val="18"/>
      <w:szCs w:val="18"/>
    </w:rPr>
  </w:style>
  <w:style w:type="paragraph" w:styleId="11">
    <w:name w:val="annotation text"/>
    <w:basedOn w:val="1"/>
    <w:link w:val="52"/>
    <w:semiHidden/>
    <w:unhideWhenUsed/>
    <w:qFormat/>
    <w:uiPriority w:val="99"/>
    <w:rPr>
      <w:rFonts w:ascii="Times New Roman" w:hAnsi="Times New Roman" w:eastAsia="等线"/>
    </w:rPr>
  </w:style>
  <w:style w:type="paragraph" w:styleId="12">
    <w:name w:val="Body Text"/>
    <w:basedOn w:val="1"/>
    <w:link w:val="65"/>
    <w:unhideWhenUsed/>
    <w:qFormat/>
    <w:uiPriority w:val="99"/>
    <w:pPr>
      <w:spacing w:after="120" w:line="240" w:lineRule="auto"/>
      <w:ind w:firstLine="0" w:firstLineChars="0"/>
      <w:jc w:val="both"/>
    </w:pPr>
    <w:rPr>
      <w:rFonts w:ascii="Tahoma" w:hAnsi="Tahoma" w:eastAsia="宋体"/>
      <w:szCs w:val="24"/>
    </w:rPr>
  </w:style>
  <w:style w:type="paragraph" w:styleId="13">
    <w:name w:val="Body Text Indent"/>
    <w:basedOn w:val="1"/>
    <w:link w:val="68"/>
    <w:semiHidden/>
    <w:unhideWhenUsed/>
    <w:qFormat/>
    <w:uiPriority w:val="99"/>
    <w:pPr>
      <w:spacing w:after="120"/>
      <w:ind w:left="420" w:leftChars="200"/>
      <w:jc w:val="both"/>
    </w:pPr>
    <w:rPr>
      <w:rFonts w:ascii="Times New Roman" w:hAnsi="Times New Roman" w:eastAsia="仿宋_GB2312"/>
      <w:sz w:val="32"/>
    </w:rPr>
  </w:style>
  <w:style w:type="paragraph" w:styleId="14">
    <w:name w:val="Balloon Text"/>
    <w:basedOn w:val="1"/>
    <w:link w:val="51"/>
    <w:semiHidden/>
    <w:unhideWhenUsed/>
    <w:qFormat/>
    <w:uiPriority w:val="99"/>
    <w:pPr>
      <w:spacing w:line="240" w:lineRule="auto"/>
      <w:ind w:firstLine="0" w:firstLineChars="0"/>
      <w:jc w:val="both"/>
    </w:pPr>
    <w:rPr>
      <w:rFonts w:eastAsia="宋体"/>
      <w:sz w:val="18"/>
      <w:szCs w:val="18"/>
    </w:rPr>
  </w:style>
  <w:style w:type="paragraph" w:styleId="15">
    <w:name w:val="footer"/>
    <w:basedOn w:val="1"/>
    <w:link w:val="62"/>
    <w:unhideWhenUsed/>
    <w:qFormat/>
    <w:uiPriority w:val="99"/>
    <w:pPr>
      <w:tabs>
        <w:tab w:val="center" w:pos="4153"/>
        <w:tab w:val="right" w:pos="8306"/>
      </w:tabs>
      <w:snapToGrid w:val="0"/>
      <w:spacing w:line="240" w:lineRule="auto"/>
    </w:pPr>
    <w:rPr>
      <w:sz w:val="18"/>
      <w:szCs w:val="18"/>
    </w:rPr>
  </w:style>
  <w:style w:type="paragraph" w:styleId="16">
    <w:name w:val="header"/>
    <w:basedOn w:val="1"/>
    <w:link w:val="6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7">
    <w:name w:val="Body Text 2"/>
    <w:basedOn w:val="1"/>
    <w:link w:val="66"/>
    <w:semiHidden/>
    <w:unhideWhenUsed/>
    <w:qFormat/>
    <w:uiPriority w:val="99"/>
    <w:pPr>
      <w:widowControl/>
      <w:spacing w:after="120" w:line="480" w:lineRule="auto"/>
      <w:ind w:firstLine="0" w:firstLineChars="0"/>
    </w:pPr>
    <w:rPr>
      <w:rFonts w:ascii="Times New Roman" w:hAnsi="Times New Roman" w:eastAsia="宋体"/>
      <w:kern w:val="0"/>
      <w:sz w:val="21"/>
      <w:szCs w:val="20"/>
    </w:rPr>
  </w:style>
  <w:style w:type="paragraph" w:styleId="18">
    <w:name w:val="Normal (Web)"/>
    <w:basedOn w:val="1"/>
    <w:semiHidden/>
    <w:unhideWhenUsed/>
    <w:qFormat/>
    <w:uiPriority w:val="99"/>
    <w:pPr>
      <w:spacing w:line="240" w:lineRule="auto"/>
      <w:ind w:firstLine="0" w:firstLineChars="0"/>
      <w:jc w:val="both"/>
    </w:pPr>
    <w:rPr>
      <w:rFonts w:eastAsia="宋体"/>
    </w:rPr>
  </w:style>
  <w:style w:type="paragraph" w:styleId="19">
    <w:name w:val="index 1"/>
    <w:basedOn w:val="1"/>
    <w:next w:val="1"/>
    <w:qFormat/>
    <w:uiPriority w:val="99"/>
    <w:pPr>
      <w:adjustRightInd w:val="0"/>
      <w:snapToGrid w:val="0"/>
      <w:ind w:firstLine="0" w:firstLineChars="0"/>
      <w:jc w:val="center"/>
    </w:pPr>
    <w:rPr>
      <w:rFonts w:ascii="Times New Roman" w:hAnsi="Times New Roman" w:eastAsia="宋体"/>
      <w:sz w:val="18"/>
      <w:szCs w:val="24"/>
    </w:rPr>
  </w:style>
  <w:style w:type="paragraph" w:styleId="20">
    <w:name w:val="annotation subject"/>
    <w:basedOn w:val="11"/>
    <w:next w:val="11"/>
    <w:link w:val="53"/>
    <w:semiHidden/>
    <w:unhideWhenUsed/>
    <w:qFormat/>
    <w:uiPriority w:val="99"/>
    <w:rPr>
      <w:b/>
      <w:bCs/>
    </w:rPr>
  </w:style>
  <w:style w:type="paragraph" w:styleId="21">
    <w:name w:val="Body Text First Indent 2"/>
    <w:basedOn w:val="13"/>
    <w:link w:val="69"/>
    <w:semiHidden/>
    <w:unhideWhenUsed/>
    <w:qFormat/>
    <w:uiPriority w:val="99"/>
    <w:pPr>
      <w:ind w:firstLine="420"/>
    </w:pPr>
  </w:style>
  <w:style w:type="table" w:styleId="23">
    <w:name w:val="Table Grid"/>
    <w:basedOn w:val="2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Emphasis"/>
    <w:qFormat/>
    <w:uiPriority w:val="20"/>
    <w:rPr>
      <w:i/>
      <w:iCs/>
    </w:rPr>
  </w:style>
  <w:style w:type="character" w:styleId="27">
    <w:name w:val="Hyperlink"/>
    <w:unhideWhenUsed/>
    <w:qFormat/>
    <w:uiPriority w:val="99"/>
    <w:rPr>
      <w:color w:val="0563C1"/>
      <w:u w:val="single"/>
    </w:rPr>
  </w:style>
  <w:style w:type="character" w:styleId="28">
    <w:name w:val="annotation reference"/>
    <w:semiHidden/>
    <w:unhideWhenUsed/>
    <w:qFormat/>
    <w:uiPriority w:val="99"/>
    <w:rPr>
      <w:sz w:val="21"/>
      <w:szCs w:val="21"/>
    </w:rPr>
  </w:style>
  <w:style w:type="table" w:customStyle="1" w:styleId="29">
    <w:name w:val="FHDI中文报告表格样式"/>
    <w:basedOn w:val="22"/>
    <w:qFormat/>
    <w:uiPriority w:val="0"/>
    <w:pPr>
      <w:snapToGrid w:val="0"/>
      <w:spacing w:beforeLines="20" w:afterLines="20"/>
      <w:jc w:val="both"/>
    </w:pPr>
    <w:rPr>
      <w:rFonts w:ascii="Arial" w:hAnsi="Arial" w:eastAsia="宋体" w:cs="Times New Roman"/>
      <w:sz w:val="24"/>
      <w:szCs w:val="24"/>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
    <w:trPr>
      <w:jc w:val="center"/>
    </w:trPr>
    <w:tcPr>
      <w:vAlign w:val="center"/>
    </w:tc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font21"/>
    <w:qFormat/>
    <w:uiPriority w:val="0"/>
    <w:rPr>
      <w:rFonts w:hint="eastAsia" w:ascii="宋体" w:hAnsi="宋体" w:eastAsia="宋体" w:cs="宋体"/>
      <w:color w:val="FF0000"/>
      <w:sz w:val="22"/>
      <w:szCs w:val="22"/>
      <w:u w:val="none"/>
    </w:rPr>
  </w:style>
  <w:style w:type="character" w:customStyle="1" w:styleId="32">
    <w:name w:val="font31"/>
    <w:qFormat/>
    <w:uiPriority w:val="0"/>
    <w:rPr>
      <w:rFonts w:hint="eastAsia" w:ascii="宋体" w:hAnsi="宋体" w:eastAsia="宋体" w:cs="宋体"/>
      <w:color w:val="000000"/>
      <w:sz w:val="22"/>
      <w:szCs w:val="22"/>
      <w:u w:val="none"/>
    </w:rPr>
  </w:style>
  <w:style w:type="table" w:customStyle="1" w:styleId="33">
    <w:name w:val="Table Normal"/>
    <w:semiHidden/>
    <w:unhideWhenUsed/>
    <w:qFormat/>
    <w:uiPriority w:val="2"/>
    <w:pPr>
      <w:widowControl w:val="0"/>
    </w:pPr>
    <w:rPr>
      <w:rFonts w:ascii="等线" w:hAnsi="等线" w:eastAsia="等线" w:cs="Times New Roman"/>
      <w:sz w:val="22"/>
      <w:lang w:eastAsia="en-US"/>
    </w:rPr>
    <w:tblPr>
      <w:tblCellMar>
        <w:top w:w="0" w:type="dxa"/>
        <w:left w:w="0" w:type="dxa"/>
        <w:bottom w:w="0" w:type="dxa"/>
        <w:right w:w="0" w:type="dxa"/>
      </w:tblCellMar>
    </w:tblPr>
  </w:style>
  <w:style w:type="table" w:customStyle="1" w:styleId="34">
    <w:name w:val="Table Normal1"/>
    <w:semiHidden/>
    <w:unhideWhenUsed/>
    <w:qFormat/>
    <w:uiPriority w:val="2"/>
    <w:pPr>
      <w:widowControl w:val="0"/>
    </w:pPr>
    <w:rPr>
      <w:rFonts w:ascii="等线" w:hAnsi="等线" w:eastAsia="等线" w:cs="Times New Roman"/>
      <w:sz w:val="22"/>
      <w:lang w:eastAsia="en-US"/>
    </w:rPr>
    <w:tblPr>
      <w:tblCellMar>
        <w:top w:w="0" w:type="dxa"/>
        <w:left w:w="0" w:type="dxa"/>
        <w:bottom w:w="0" w:type="dxa"/>
        <w:right w:w="0" w:type="dxa"/>
      </w:tblCellMar>
    </w:tblPr>
  </w:style>
  <w:style w:type="paragraph" w:customStyle="1" w:styleId="35">
    <w:name w:val="Table Paragraph"/>
    <w:basedOn w:val="1"/>
    <w:qFormat/>
    <w:uiPriority w:val="1"/>
    <w:rPr>
      <w:kern w:val="0"/>
      <w:sz w:val="22"/>
      <w:lang w:eastAsia="en-US"/>
    </w:rPr>
  </w:style>
  <w:style w:type="character" w:customStyle="1" w:styleId="36">
    <w:name w:val="标题 1 字符"/>
    <w:link w:val="2"/>
    <w:qFormat/>
    <w:uiPriority w:val="9"/>
    <w:rPr>
      <w:rFonts w:ascii="等线" w:hAnsi="等线" w:eastAsia="黑体" w:cs="Times New Roman"/>
      <w:b/>
      <w:bCs/>
      <w:kern w:val="44"/>
      <w:sz w:val="32"/>
      <w:szCs w:val="44"/>
    </w:rPr>
  </w:style>
  <w:style w:type="paragraph" w:customStyle="1" w:styleId="37">
    <w:name w:val="TOC 标题1"/>
    <w:basedOn w:val="2"/>
    <w:next w:val="1"/>
    <w:unhideWhenUsed/>
    <w:qFormat/>
    <w:uiPriority w:val="39"/>
    <w:pPr>
      <w:widowControl/>
      <w:spacing w:before="240" w:line="259" w:lineRule="auto"/>
      <w:jc w:val="left"/>
      <w:outlineLvl w:val="9"/>
    </w:pPr>
    <w:rPr>
      <w:rFonts w:ascii="等线 Light" w:hAnsi="等线 Light" w:eastAsia="等线 Light"/>
      <w:b w:val="0"/>
      <w:bCs w:val="0"/>
      <w:color w:val="2E74B5"/>
      <w:kern w:val="0"/>
      <w:szCs w:val="32"/>
    </w:rPr>
  </w:style>
  <w:style w:type="paragraph" w:customStyle="1" w:styleId="38">
    <w:name w:val="TOC 标题11"/>
    <w:basedOn w:val="2"/>
    <w:next w:val="1"/>
    <w:unhideWhenUsed/>
    <w:qFormat/>
    <w:uiPriority w:val="39"/>
    <w:pPr>
      <w:widowControl/>
      <w:spacing w:before="240" w:line="259" w:lineRule="auto"/>
      <w:jc w:val="left"/>
      <w:outlineLvl w:val="9"/>
    </w:pPr>
    <w:rPr>
      <w:rFonts w:ascii="Calibri Light" w:hAnsi="Calibri Light" w:eastAsia="宋体"/>
      <w:b w:val="0"/>
      <w:bCs w:val="0"/>
      <w:color w:val="2E74B5"/>
      <w:kern w:val="0"/>
      <w:szCs w:val="32"/>
    </w:rPr>
  </w:style>
  <w:style w:type="character" w:customStyle="1" w:styleId="39">
    <w:name w:val="标题 2 字符"/>
    <w:link w:val="3"/>
    <w:qFormat/>
    <w:uiPriority w:val="9"/>
    <w:rPr>
      <w:rFonts w:ascii="Times New Roman" w:hAnsi="Times New Roman" w:eastAsia="楷体_GB2312" w:cs="Times New Roman"/>
      <w:b/>
      <w:bCs/>
      <w:sz w:val="36"/>
      <w:szCs w:val="32"/>
    </w:rPr>
  </w:style>
  <w:style w:type="character" w:customStyle="1" w:styleId="40">
    <w:name w:val="标题 3 字符"/>
    <w:link w:val="4"/>
    <w:qFormat/>
    <w:uiPriority w:val="9"/>
    <w:rPr>
      <w:rFonts w:ascii="Times New Roman" w:hAnsi="Times New Roman" w:eastAsia="仿宋_GB2312" w:cs="Times New Roman"/>
      <w:b/>
      <w:bCs/>
      <w:sz w:val="32"/>
      <w:szCs w:val="32"/>
    </w:rPr>
  </w:style>
  <w:style w:type="character" w:customStyle="1" w:styleId="41">
    <w:name w:val="标题 4 字符"/>
    <w:link w:val="5"/>
    <w:qFormat/>
    <w:uiPriority w:val="9"/>
    <w:rPr>
      <w:rFonts w:ascii="Times New Roman" w:hAnsi="Times New Roman" w:eastAsia="仿宋_GB2312" w:cs="Times New Roman"/>
      <w:b/>
      <w:bCs/>
      <w:kern w:val="0"/>
      <w:sz w:val="32"/>
      <w:szCs w:val="28"/>
    </w:rPr>
  </w:style>
  <w:style w:type="character" w:customStyle="1" w:styleId="42">
    <w:name w:val="标题 5 字符"/>
    <w:link w:val="6"/>
    <w:qFormat/>
    <w:uiPriority w:val="9"/>
    <w:rPr>
      <w:rFonts w:ascii="Times New Roman" w:hAnsi="Times New Roman" w:eastAsia="仿宋_GB2312" w:cs="Times New Roman"/>
      <w:b/>
      <w:bCs/>
      <w:sz w:val="32"/>
      <w:szCs w:val="28"/>
    </w:rPr>
  </w:style>
  <w:style w:type="character" w:customStyle="1" w:styleId="43">
    <w:name w:val="标题 6 字符"/>
    <w:link w:val="7"/>
    <w:qFormat/>
    <w:uiPriority w:val="9"/>
    <w:rPr>
      <w:rFonts w:ascii="等线 Light" w:hAnsi="等线 Light" w:eastAsia="等线 Light" w:cs="Times New Roman"/>
      <w:b/>
      <w:bCs/>
      <w:sz w:val="24"/>
      <w:szCs w:val="24"/>
    </w:rPr>
  </w:style>
  <w:style w:type="character" w:customStyle="1" w:styleId="44">
    <w:name w:val="超链接1"/>
    <w:unhideWhenUsed/>
    <w:qFormat/>
    <w:uiPriority w:val="99"/>
    <w:rPr>
      <w:color w:val="0563C1"/>
      <w:u w:val="single"/>
    </w:rPr>
  </w:style>
  <w:style w:type="character" w:customStyle="1" w:styleId="45">
    <w:name w:val="纯文本 Char"/>
    <w:semiHidden/>
    <w:qFormat/>
    <w:uiPriority w:val="0"/>
    <w:rPr>
      <w:rFonts w:ascii="宋体" w:hAnsi="Courier New" w:eastAsia="宋体" w:cs="Courier New"/>
      <w:szCs w:val="21"/>
    </w:rPr>
  </w:style>
  <w:style w:type="character" w:customStyle="1" w:styleId="46">
    <w:name w:val="纯文本 Char1"/>
    <w:qFormat/>
    <w:uiPriority w:val="99"/>
    <w:rPr>
      <w:rFonts w:ascii="宋体" w:hAnsi="Courier New" w:eastAsia="宋体" w:cs="Times New Roman"/>
    </w:rPr>
  </w:style>
  <w:style w:type="paragraph" w:customStyle="1" w:styleId="47">
    <w:name w:val="技术部分正文"/>
    <w:basedOn w:val="1"/>
    <w:qFormat/>
    <w:uiPriority w:val="0"/>
    <w:pPr>
      <w:jc w:val="both"/>
    </w:pPr>
    <w:rPr>
      <w:rFonts w:ascii="Times New Roman" w:hAnsi="Times New Roman" w:eastAsia="仿宋_GB2312"/>
      <w:sz w:val="32"/>
      <w:szCs w:val="32"/>
    </w:rPr>
  </w:style>
  <w:style w:type="paragraph" w:styleId="48">
    <w:name w:val="List Paragraph"/>
    <w:basedOn w:val="1"/>
    <w:qFormat/>
    <w:uiPriority w:val="34"/>
    <w:pPr>
      <w:spacing w:line="240" w:lineRule="auto"/>
      <w:ind w:firstLine="420"/>
      <w:jc w:val="both"/>
    </w:pPr>
    <w:rPr>
      <w:rFonts w:eastAsia="宋体"/>
      <w:sz w:val="21"/>
    </w:rPr>
  </w:style>
  <w:style w:type="paragraph" w:customStyle="1" w:styleId="49">
    <w:name w:val="列表段落1"/>
    <w:basedOn w:val="1"/>
    <w:qFormat/>
    <w:uiPriority w:val="99"/>
    <w:pPr>
      <w:ind w:firstLine="420"/>
      <w:jc w:val="both"/>
    </w:pPr>
    <w:rPr>
      <w:rFonts w:ascii="Times New Roman" w:hAnsi="Times New Roman" w:eastAsia="仿宋_GB2312"/>
      <w:sz w:val="30"/>
      <w:szCs w:val="30"/>
    </w:rPr>
  </w:style>
  <w:style w:type="paragraph" w:customStyle="1" w:styleId="50">
    <w:name w:val="列表段落12"/>
    <w:basedOn w:val="1"/>
    <w:qFormat/>
    <w:uiPriority w:val="0"/>
    <w:pPr>
      <w:ind w:firstLine="420"/>
      <w:jc w:val="both"/>
    </w:pPr>
    <w:rPr>
      <w:rFonts w:ascii="Times New Roman" w:hAnsi="Times New Roman" w:eastAsia="仿宋_GB2312"/>
      <w:sz w:val="30"/>
      <w:szCs w:val="30"/>
    </w:rPr>
  </w:style>
  <w:style w:type="character" w:customStyle="1" w:styleId="51">
    <w:name w:val="批注框文本 字符"/>
    <w:link w:val="14"/>
    <w:semiHidden/>
    <w:qFormat/>
    <w:uiPriority w:val="99"/>
    <w:rPr>
      <w:rFonts w:ascii="等线" w:hAnsi="等线" w:eastAsia="宋体" w:cs="Times New Roman"/>
      <w:sz w:val="18"/>
      <w:szCs w:val="18"/>
    </w:rPr>
  </w:style>
  <w:style w:type="character" w:customStyle="1" w:styleId="52">
    <w:name w:val="批注文字 字符"/>
    <w:link w:val="11"/>
    <w:semiHidden/>
    <w:qFormat/>
    <w:uiPriority w:val="99"/>
    <w:rPr>
      <w:rFonts w:ascii="Times New Roman" w:hAnsi="Times New Roman" w:eastAsia="等线" w:cs="Times New Roman"/>
      <w:sz w:val="24"/>
    </w:rPr>
  </w:style>
  <w:style w:type="character" w:customStyle="1" w:styleId="53">
    <w:name w:val="批注主题 字符"/>
    <w:link w:val="20"/>
    <w:semiHidden/>
    <w:qFormat/>
    <w:uiPriority w:val="99"/>
    <w:rPr>
      <w:rFonts w:ascii="Times New Roman" w:hAnsi="Times New Roman" w:eastAsia="等线" w:cs="Times New Roman"/>
      <w:b/>
      <w:bCs/>
      <w:sz w:val="24"/>
    </w:rPr>
  </w:style>
  <w:style w:type="character" w:customStyle="1" w:styleId="54">
    <w:name w:val="题注 字符"/>
    <w:link w:val="9"/>
    <w:qFormat/>
    <w:uiPriority w:val="0"/>
    <w:rPr>
      <w:rFonts w:ascii="Times New Roman" w:hAnsi="Times New Roman" w:eastAsia="黑体" w:cs="Times New Roman"/>
      <w:b/>
      <w:sz w:val="24"/>
      <w:szCs w:val="20"/>
    </w:rPr>
  </w:style>
  <w:style w:type="paragraph" w:customStyle="1" w:styleId="55">
    <w:name w:val="题注1"/>
    <w:basedOn w:val="1"/>
    <w:next w:val="1"/>
    <w:unhideWhenUsed/>
    <w:qFormat/>
    <w:uiPriority w:val="35"/>
    <w:pPr>
      <w:ind w:firstLine="0" w:firstLineChars="0"/>
      <w:jc w:val="center"/>
    </w:pPr>
    <w:rPr>
      <w:rFonts w:ascii="Times New Roman" w:hAnsi="Times New Roman" w:eastAsia="宋体"/>
      <w:sz w:val="21"/>
      <w:szCs w:val="20"/>
    </w:rPr>
  </w:style>
  <w:style w:type="paragraph" w:customStyle="1" w:styleId="56">
    <w:name w:val="图标样式"/>
    <w:basedOn w:val="1"/>
    <w:qFormat/>
    <w:uiPriority w:val="0"/>
    <w:pPr>
      <w:ind w:firstLine="0" w:firstLineChars="0"/>
      <w:jc w:val="center"/>
    </w:pPr>
    <w:rPr>
      <w:rFonts w:ascii="Times New Roman" w:hAnsi="Times New Roman" w:eastAsia="仿宋_GB2312"/>
    </w:rPr>
  </w:style>
  <w:style w:type="paragraph" w:customStyle="1" w:styleId="57">
    <w:name w:val="图表样式"/>
    <w:basedOn w:val="1"/>
    <w:qFormat/>
    <w:uiPriority w:val="0"/>
    <w:pPr>
      <w:ind w:firstLine="0" w:firstLineChars="0"/>
      <w:jc w:val="center"/>
    </w:pPr>
    <w:rPr>
      <w:rFonts w:ascii="Times New Roman" w:hAnsi="Times New Roman" w:eastAsia="仿宋_GB2312"/>
    </w:rPr>
  </w:style>
  <w:style w:type="table" w:customStyle="1" w:styleId="58">
    <w:name w:val="网格型1"/>
    <w:basedOn w:val="22"/>
    <w:qFormat/>
    <w:uiPriority w:val="0"/>
    <w:rPr>
      <w:rFonts w:ascii="等线" w:hAnsi="等线" w:eastAsia="等线"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
    <w:name w:val="未处理的提及1"/>
    <w:semiHidden/>
    <w:unhideWhenUsed/>
    <w:qFormat/>
    <w:uiPriority w:val="99"/>
    <w:rPr>
      <w:color w:val="605E5C"/>
      <w:shd w:val="clear" w:color="auto" w:fill="E1DFDD"/>
    </w:rPr>
  </w:style>
  <w:style w:type="character" w:customStyle="1" w:styleId="60">
    <w:name w:val="文档结构图 字符"/>
    <w:link w:val="10"/>
    <w:semiHidden/>
    <w:qFormat/>
    <w:uiPriority w:val="99"/>
    <w:rPr>
      <w:rFonts w:ascii="宋体" w:hAnsi="Times New Roman" w:eastAsia="宋体" w:cs="Times New Roman"/>
      <w:sz w:val="18"/>
      <w:szCs w:val="18"/>
    </w:rPr>
  </w:style>
  <w:style w:type="paragraph" w:customStyle="1" w:styleId="61">
    <w:name w:val="样式2"/>
    <w:basedOn w:val="48"/>
    <w:qFormat/>
    <w:uiPriority w:val="0"/>
    <w:pPr>
      <w:ind w:firstLine="0" w:firstLineChars="0"/>
      <w:jc w:val="center"/>
    </w:pPr>
    <w:rPr>
      <w:rFonts w:ascii="Times New Roman" w:hAnsi="Times New Roman" w:eastAsia="仿宋_GB2312"/>
      <w:sz w:val="24"/>
    </w:rPr>
  </w:style>
  <w:style w:type="character" w:customStyle="1" w:styleId="62">
    <w:name w:val="页脚 字符"/>
    <w:link w:val="15"/>
    <w:qFormat/>
    <w:uiPriority w:val="99"/>
    <w:rPr>
      <w:rFonts w:ascii="等线" w:hAnsi="等线" w:eastAsia="仿宋" w:cs="Times New Roman"/>
      <w:sz w:val="18"/>
      <w:szCs w:val="18"/>
    </w:rPr>
  </w:style>
  <w:style w:type="character" w:customStyle="1" w:styleId="63">
    <w:name w:val="页眉 字符"/>
    <w:link w:val="16"/>
    <w:qFormat/>
    <w:uiPriority w:val="99"/>
    <w:rPr>
      <w:rFonts w:ascii="等线" w:hAnsi="等线" w:eastAsia="仿宋" w:cs="Times New Roman"/>
      <w:sz w:val="18"/>
      <w:szCs w:val="18"/>
    </w:rPr>
  </w:style>
  <w:style w:type="paragraph" w:customStyle="1" w:styleId="6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5">
    <w:name w:val="正文文本 字符"/>
    <w:link w:val="12"/>
    <w:qFormat/>
    <w:uiPriority w:val="99"/>
    <w:rPr>
      <w:rFonts w:ascii="Tahoma" w:hAnsi="Tahoma" w:eastAsia="宋体" w:cs="Times New Roman"/>
      <w:sz w:val="24"/>
      <w:szCs w:val="24"/>
    </w:rPr>
  </w:style>
  <w:style w:type="character" w:customStyle="1" w:styleId="66">
    <w:name w:val="正文文本 2 字符"/>
    <w:link w:val="17"/>
    <w:semiHidden/>
    <w:qFormat/>
    <w:uiPriority w:val="99"/>
    <w:rPr>
      <w:rFonts w:ascii="Times New Roman" w:hAnsi="Times New Roman" w:eastAsia="宋体" w:cs="Times New Roman"/>
      <w:kern w:val="0"/>
      <w:szCs w:val="20"/>
    </w:rPr>
  </w:style>
  <w:style w:type="character" w:customStyle="1" w:styleId="67">
    <w:name w:val="正文文本 Char"/>
    <w:qFormat/>
    <w:uiPriority w:val="0"/>
    <w:rPr>
      <w:rFonts w:hint="eastAsia" w:ascii="宋体" w:hAnsi="宋体" w:eastAsia="宋体" w:cs="宋体"/>
      <w:sz w:val="24"/>
      <w:szCs w:val="24"/>
      <w:lang w:val="en-US" w:eastAsia="zh-CN" w:bidi="ar"/>
    </w:rPr>
  </w:style>
  <w:style w:type="character" w:customStyle="1" w:styleId="68">
    <w:name w:val="正文文本缩进 字符"/>
    <w:link w:val="13"/>
    <w:semiHidden/>
    <w:qFormat/>
    <w:uiPriority w:val="99"/>
    <w:rPr>
      <w:rFonts w:ascii="Times New Roman" w:hAnsi="Times New Roman" w:eastAsia="仿宋_GB2312" w:cs="Times New Roman"/>
      <w:sz w:val="32"/>
    </w:rPr>
  </w:style>
  <w:style w:type="character" w:customStyle="1" w:styleId="69">
    <w:name w:val="正文文本首行缩进 2 字符"/>
    <w:link w:val="21"/>
    <w:semiHidden/>
    <w:qFormat/>
    <w:uiPriority w:val="99"/>
    <w:rPr>
      <w:rFonts w:ascii="Times New Roman" w:hAnsi="Times New Roman" w:eastAsia="仿宋_GB2312" w:cs="Times New Roman"/>
      <w:sz w:val="32"/>
    </w:rPr>
  </w:style>
  <w:style w:type="paragraph" w:customStyle="1" w:styleId="70">
    <w:name w:val="Char Char Char Char Char Char1 Char"/>
    <w:basedOn w:val="1"/>
    <w:qFormat/>
    <w:uiPriority w:val="0"/>
    <w:pPr>
      <w:widowControl/>
      <w:spacing w:after="160" w:line="240" w:lineRule="exact"/>
      <w:ind w:firstLine="0" w:firstLineChars="0"/>
    </w:pPr>
    <w:rPr>
      <w:rFonts w:ascii="Times New Roman" w:hAnsi="Times New Roman" w:eastAsia="宋体"/>
      <w:sz w:val="21"/>
      <w:szCs w:val="20"/>
    </w:rPr>
  </w:style>
  <w:style w:type="paragraph" w:customStyle="1" w:styleId="71">
    <w:name w:val="修订1"/>
    <w:hidden/>
    <w:semiHidden/>
    <w:qFormat/>
    <w:uiPriority w:val="99"/>
    <w:rPr>
      <w:rFonts w:ascii="等线" w:hAnsi="等线" w:eastAsia="仿宋"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1259</Words>
  <Characters>7177</Characters>
  <Lines>59</Lines>
  <Paragraphs>16</Paragraphs>
  <TotalTime>3</TotalTime>
  <ScaleCrop>false</ScaleCrop>
  <LinksUpToDate>false</LinksUpToDate>
  <CharactersWithSpaces>8420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2023-02-13T17:52:00Z</dcterms:created>
  <dc:creator>潘 翠红</dc:creator>
  <cp:lastModifiedBy>user</cp:lastModifiedBy>
  <dcterms:modified xsi:type="dcterms:W3CDTF">2023-06-21T10:19:17Z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