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both"/>
        <w:rPr>
          <w:rFonts w:hint="eastAsia" w:eastAsia="方正小标宋简体"/>
          <w:spacing w:val="-1"/>
          <w:position w:val="1"/>
          <w:sz w:val="21"/>
          <w:szCs w:val="21"/>
          <w:lang w:eastAsia="zh-CN"/>
        </w:rPr>
      </w:pPr>
      <w:r>
        <w:rPr>
          <w:rFonts w:hint="eastAsia" w:eastAsia="方正小标宋简体"/>
          <w:spacing w:val="-1"/>
          <w:position w:val="1"/>
          <w:sz w:val="21"/>
          <w:szCs w:val="21"/>
          <w:lang w:eastAsia="zh-CN"/>
        </w:rPr>
        <w:t>附件</w:t>
      </w:r>
      <w:r>
        <w:rPr>
          <w:rFonts w:hint="eastAsia" w:eastAsia="方正小标宋简体"/>
          <w:spacing w:val="-1"/>
          <w:position w:val="1"/>
          <w:sz w:val="21"/>
          <w:szCs w:val="21"/>
          <w:lang w:val="en-US" w:eastAsia="zh-CN"/>
        </w:rPr>
        <w:t>7：</w:t>
      </w:r>
    </w:p>
    <w:p>
      <w:pPr>
        <w:widowControl w:val="0"/>
        <w:wordWrap/>
        <w:adjustRightInd/>
        <w:snapToGrid/>
        <w:spacing w:line="520" w:lineRule="exact"/>
        <w:ind w:left="0" w:leftChars="0" w:right="0" w:firstLine="0" w:firstLineChars="0"/>
        <w:jc w:val="center"/>
        <w:textAlignment w:val="auto"/>
        <w:outlineLvl w:val="9"/>
        <w:rPr>
          <w:rFonts w:hint="eastAsia" w:eastAsia="方正小标宋简体"/>
          <w:spacing w:val="-1"/>
          <w:position w:val="1"/>
          <w:sz w:val="44"/>
          <w:szCs w:val="44"/>
        </w:rPr>
      </w:pPr>
      <w:r>
        <w:rPr>
          <w:rFonts w:hint="eastAsia" w:eastAsia="方正小标宋简体"/>
          <w:spacing w:val="-1"/>
          <w:position w:val="1"/>
          <w:sz w:val="44"/>
          <w:szCs w:val="44"/>
        </w:rPr>
        <w:t>清远市</w:t>
      </w:r>
      <w:r>
        <w:rPr>
          <w:rFonts w:hint="eastAsia" w:eastAsia="方正小标宋简体"/>
          <w:spacing w:val="-1"/>
          <w:position w:val="1"/>
          <w:sz w:val="44"/>
          <w:szCs w:val="44"/>
          <w:lang w:eastAsia="zh-CN"/>
        </w:rPr>
        <w:t>市场监督管理局</w:t>
      </w:r>
      <w:r>
        <w:rPr>
          <w:rFonts w:hint="eastAsia" w:eastAsia="方正小标宋简体"/>
          <w:spacing w:val="-1"/>
          <w:position w:val="1"/>
          <w:sz w:val="44"/>
          <w:szCs w:val="44"/>
        </w:rPr>
        <w:t>化工产品质量监督</w:t>
      </w:r>
    </w:p>
    <w:p>
      <w:pPr>
        <w:widowControl w:val="0"/>
        <w:wordWrap/>
        <w:adjustRightInd/>
        <w:snapToGrid/>
        <w:spacing w:line="520" w:lineRule="exact"/>
        <w:ind w:left="0" w:leftChars="0" w:right="0" w:firstLine="0" w:firstLineChars="0"/>
        <w:jc w:val="center"/>
        <w:textAlignment w:val="auto"/>
        <w:outlineLvl w:val="9"/>
        <w:rPr>
          <w:rFonts w:eastAsia="方正小标宋简体"/>
          <w:spacing w:val="-1"/>
          <w:position w:val="1"/>
          <w:sz w:val="44"/>
          <w:szCs w:val="44"/>
        </w:rPr>
      </w:pPr>
      <w:r>
        <w:rPr>
          <w:rFonts w:hint="eastAsia" w:eastAsia="方正小标宋简体"/>
          <w:spacing w:val="-1"/>
          <w:position w:val="1"/>
          <w:sz w:val="44"/>
          <w:szCs w:val="44"/>
        </w:rPr>
        <w:t>抽查实施细则</w:t>
      </w:r>
      <w:r>
        <w:rPr>
          <w:rFonts w:hint="eastAsia" w:eastAsia="方正小标宋简体"/>
          <w:spacing w:val="-1"/>
          <w:position w:val="1"/>
          <w:sz w:val="44"/>
          <w:szCs w:val="44"/>
          <w:lang w:eastAsia="zh-CN"/>
        </w:rPr>
        <w:t>（</w:t>
      </w:r>
      <w:r>
        <w:rPr>
          <w:rFonts w:hint="eastAsia" w:eastAsia="方正小标宋简体"/>
          <w:spacing w:val="-1"/>
          <w:position w:val="1"/>
          <w:sz w:val="44"/>
          <w:szCs w:val="44"/>
        </w:rPr>
        <w:t>2023年</w:t>
      </w:r>
      <w:r>
        <w:rPr>
          <w:rFonts w:hint="eastAsia" w:eastAsia="方正小标宋简体"/>
          <w:spacing w:val="-1"/>
          <w:position w:val="1"/>
          <w:sz w:val="44"/>
          <w:szCs w:val="44"/>
          <w:lang w:eastAsia="zh-CN"/>
        </w:rPr>
        <w:t>）</w:t>
      </w:r>
    </w:p>
    <w:p>
      <w:pPr>
        <w:pStyle w:val="2"/>
        <w:rPr>
          <w:rFonts w:hint="eastAsia" w:ascii="黑体" w:hAnsi="黑体" w:eastAsia="黑体" w:cs="黑体"/>
        </w:rPr>
      </w:pPr>
    </w:p>
    <w:p>
      <w:pPr>
        <w:numPr>
          <w:ilvl w:val="0"/>
          <w:numId w:val="1"/>
        </w:numPr>
        <w:wordWrap/>
        <w:spacing w:line="520" w:lineRule="exact"/>
        <w:ind w:left="0" w:leftChars="0" w:right="0" w:firstLine="640" w:firstLineChars="200"/>
        <w:textAlignment w:val="auto"/>
        <w:outlineLvl w:val="9"/>
        <w:rPr>
          <w:rFonts w:hint="eastAsia" w:ascii="黑体" w:hAnsi="黑体" w:eastAsia="黑体" w:cs="黑体"/>
          <w:szCs w:val="32"/>
        </w:rPr>
      </w:pPr>
      <w:r>
        <w:rPr>
          <w:rFonts w:hint="eastAsia" w:ascii="黑体" w:hAnsi="黑体" w:eastAsia="黑体" w:cs="黑体"/>
          <w:szCs w:val="32"/>
        </w:rPr>
        <w:t>抽样方法</w:t>
      </w:r>
    </w:p>
    <w:p>
      <w:pPr>
        <w:pStyle w:val="2"/>
        <w:numPr>
          <w:numId w:val="0"/>
        </w:numPr>
        <w:jc w:val="both"/>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抽查产品：</w:t>
      </w:r>
      <w:r>
        <w:rPr>
          <w:rFonts w:hint="eastAsia" w:ascii="仿宋_GB2312" w:hAnsi="仿宋_GB2312" w:eastAsia="仿宋_GB2312" w:cs="仿宋_GB2312"/>
          <w:sz w:val="32"/>
          <w:szCs w:val="32"/>
        </w:rPr>
        <w:t>化学试剂 硫酸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工业硫酸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次氯</w:t>
      </w:r>
      <w:bookmarkStart w:id="0" w:name="_GoBack"/>
      <w:bookmarkEnd w:id="0"/>
      <w:r>
        <w:rPr>
          <w:rFonts w:hint="eastAsia" w:ascii="仿宋_GB2312" w:hAnsi="仿宋_GB2312" w:eastAsia="仿宋_GB2312" w:cs="仿宋_GB2312"/>
          <w:sz w:val="32"/>
          <w:szCs w:val="32"/>
        </w:rPr>
        <w:t>酸钠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副产盐酸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工业用甲醛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化学试剂氨水</w:t>
      </w:r>
    </w:p>
    <w:p>
      <w:pPr>
        <w:widowControl/>
        <w:wordWrap/>
        <w:spacing w:line="520" w:lineRule="exact"/>
        <w:ind w:left="0" w:leftChars="0" w:right="0" w:firstLine="640"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kern w:val="0"/>
          <w:szCs w:val="32"/>
        </w:rPr>
        <w:t>以随机抽样的方式在被抽查市场主体的待销产品中抽取。</w:t>
      </w:r>
    </w:p>
    <w:p>
      <w:pPr>
        <w:wordWrap/>
        <w:adjustRightInd w:val="0"/>
        <w:snapToGrid w:val="0"/>
        <w:spacing w:line="520" w:lineRule="exact"/>
        <w:ind w:left="0" w:leftChars="0" w:right="0" w:firstLine="64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随机数一般可使用随机数表等方法产生。</w:t>
      </w:r>
    </w:p>
    <w:p>
      <w:pPr>
        <w:wordWrap/>
        <w:spacing w:line="520" w:lineRule="exact"/>
        <w:ind w:left="0" w:leftChars="0" w:right="0" w:firstLine="640" w:firstLineChars="200"/>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抽查数量：每款产品抽取2组样本，第1组用于检验，第2组用于备样。具体抽样数量如下：</w:t>
      </w:r>
    </w:p>
    <w:tbl>
      <w:tblPr>
        <w:tblStyle w:val="10"/>
        <w:tblW w:w="8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3138"/>
        <w:gridCol w:w="2268"/>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82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序号</w:t>
            </w:r>
          </w:p>
        </w:tc>
        <w:tc>
          <w:tcPr>
            <w:tcW w:w="313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产品名称</w:t>
            </w:r>
          </w:p>
        </w:tc>
        <w:tc>
          <w:tcPr>
            <w:tcW w:w="226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第1组数量</w:t>
            </w:r>
          </w:p>
        </w:tc>
        <w:tc>
          <w:tcPr>
            <w:tcW w:w="220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313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化学试剂 硫酸</w:t>
            </w:r>
          </w:p>
        </w:tc>
        <w:tc>
          <w:tcPr>
            <w:tcW w:w="226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500ml</w:t>
            </w:r>
          </w:p>
        </w:tc>
        <w:tc>
          <w:tcPr>
            <w:tcW w:w="220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500ml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313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工业硫酸</w:t>
            </w:r>
          </w:p>
        </w:tc>
        <w:tc>
          <w:tcPr>
            <w:tcW w:w="226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500ml</w:t>
            </w:r>
          </w:p>
        </w:tc>
        <w:tc>
          <w:tcPr>
            <w:tcW w:w="220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500ml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313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次氯酸钠</w:t>
            </w:r>
          </w:p>
        </w:tc>
        <w:tc>
          <w:tcPr>
            <w:tcW w:w="226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500ml</w:t>
            </w:r>
          </w:p>
        </w:tc>
        <w:tc>
          <w:tcPr>
            <w:tcW w:w="220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500ml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313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副产盐酸</w:t>
            </w:r>
          </w:p>
        </w:tc>
        <w:tc>
          <w:tcPr>
            <w:tcW w:w="226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500ml</w:t>
            </w:r>
          </w:p>
        </w:tc>
        <w:tc>
          <w:tcPr>
            <w:tcW w:w="220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500ml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313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工业用甲醛</w:t>
            </w:r>
          </w:p>
        </w:tc>
        <w:tc>
          <w:tcPr>
            <w:tcW w:w="226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1L</w:t>
            </w:r>
          </w:p>
        </w:tc>
        <w:tc>
          <w:tcPr>
            <w:tcW w:w="220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1L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313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化学试剂氨水</w:t>
            </w:r>
          </w:p>
        </w:tc>
        <w:tc>
          <w:tcPr>
            <w:tcW w:w="226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500ml</w:t>
            </w:r>
          </w:p>
        </w:tc>
        <w:tc>
          <w:tcPr>
            <w:tcW w:w="220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500ml</w:t>
            </w:r>
          </w:p>
        </w:tc>
      </w:tr>
    </w:tbl>
    <w:p>
      <w:pPr>
        <w:wordWrap/>
        <w:adjustRightInd w:val="0"/>
        <w:snapToGrid w:val="0"/>
        <w:spacing w:line="520" w:lineRule="exact"/>
        <w:ind w:left="0" w:leftChars="0" w:right="0" w:firstLine="641"/>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其他注意事项：</w:t>
      </w:r>
    </w:p>
    <w:p>
      <w:pPr>
        <w:wordWrap/>
        <w:adjustRightInd w:val="0"/>
        <w:snapToGrid w:val="0"/>
        <w:spacing w:line="520" w:lineRule="exact"/>
        <w:ind w:left="0" w:leftChars="0" w:right="0" w:firstLine="641"/>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 w:val="28"/>
          <w:szCs w:val="28"/>
        </w:rPr>
        <w:t>工业硫酸、</w:t>
      </w:r>
      <w:r>
        <w:rPr>
          <w:rFonts w:hint="eastAsia" w:ascii="仿宋_GB2312" w:hAnsi="仿宋_GB2312" w:eastAsia="仿宋_GB2312" w:cs="仿宋_GB2312"/>
          <w:color w:val="000000"/>
          <w:szCs w:val="32"/>
        </w:rPr>
        <w:t>次氯酸钠、副产盐酸、化学试剂氨水采样按GB/T 6678和GB/T 6680规定，将采取的样品混匀，装于清洁、干燥的带磨口塞的棕色瓶中，密封。</w:t>
      </w:r>
    </w:p>
    <w:p>
      <w:pPr>
        <w:wordWrap/>
        <w:adjustRightInd w:val="0"/>
        <w:snapToGrid w:val="0"/>
        <w:spacing w:line="520" w:lineRule="exact"/>
        <w:ind w:left="0" w:leftChars="0" w:right="0" w:firstLine="641"/>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工业用甲醛采样按GB/T 6678和GB/T 6680常温下为流动态液体的规定进行，所采样品总量不少于2L。</w:t>
      </w:r>
    </w:p>
    <w:p>
      <w:pPr>
        <w:wordWrap/>
        <w:adjustRightInd w:val="0"/>
        <w:snapToGrid w:val="0"/>
        <w:spacing w:line="520" w:lineRule="exact"/>
        <w:ind w:left="0" w:leftChars="0" w:right="0" w:firstLine="641"/>
        <w:textAlignment w:val="auto"/>
        <w:outlineLvl w:val="9"/>
        <w:rPr>
          <w:rFonts w:hint="eastAsia" w:ascii="黑体" w:hAnsi="黑体" w:eastAsia="黑体" w:cs="黑体"/>
          <w:color w:val="000000"/>
          <w:szCs w:val="32"/>
        </w:rPr>
      </w:pPr>
      <w:r>
        <w:rPr>
          <w:rFonts w:hint="eastAsia" w:ascii="仿宋_GB2312" w:hAnsi="仿宋_GB2312" w:eastAsia="仿宋_GB2312" w:cs="仿宋_GB2312"/>
          <w:color w:val="000000"/>
          <w:szCs w:val="32"/>
        </w:rPr>
        <w:t>化学试剂硫酸、化学试剂氨水采样按HG/T 3921规定。</w:t>
      </w:r>
    </w:p>
    <w:p>
      <w:pPr>
        <w:wordWrap/>
        <w:adjustRightInd w:val="0"/>
        <w:snapToGrid w:val="0"/>
        <w:spacing w:line="520" w:lineRule="exact"/>
        <w:ind w:left="0" w:leftChars="0" w:right="0" w:firstLine="640" w:firstLineChars="200"/>
        <w:textAlignment w:val="auto"/>
        <w:outlineLvl w:val="9"/>
        <w:rPr>
          <w:rFonts w:hint="eastAsia" w:ascii="黑体" w:hAnsi="黑体" w:eastAsia="黑体" w:cs="黑体"/>
          <w:color w:val="000000"/>
          <w:szCs w:val="32"/>
        </w:rPr>
      </w:pPr>
      <w:r>
        <w:rPr>
          <w:rFonts w:hint="eastAsia" w:ascii="黑体" w:hAnsi="黑体" w:eastAsia="黑体" w:cs="黑体"/>
          <w:color w:val="000000"/>
          <w:szCs w:val="32"/>
        </w:rPr>
        <w:t>二、主要检验项目及检验项目属性划分</w:t>
      </w:r>
    </w:p>
    <w:p>
      <w:pPr>
        <w:wordWrap/>
        <w:adjustRightInd w:val="0"/>
        <w:snapToGrid w:val="0"/>
        <w:spacing w:line="520" w:lineRule="exact"/>
        <w:ind w:right="0"/>
        <w:textAlignment w:val="auto"/>
        <w:outlineLvl w:val="9"/>
        <w:rPr>
          <w:rFonts w:hint="eastAsia" w:ascii="仿宋_GB2312" w:hAnsi="仿宋_GB2312" w:eastAsia="仿宋_GB2312" w:cs="仿宋_GB2312"/>
          <w:color w:val="000000"/>
          <w:szCs w:val="21"/>
        </w:rPr>
      </w:pPr>
      <w:r>
        <w:rPr>
          <w:rFonts w:hint="eastAsia" w:ascii="仿宋_GB2312" w:hAnsi="仿宋_GB2312" w:cs="仿宋_GB2312"/>
          <w:color w:val="000000"/>
          <w:szCs w:val="21"/>
          <w:lang w:val="en-US" w:eastAsia="zh-CN"/>
        </w:rPr>
        <w:t xml:space="preserve">    （一）</w:t>
      </w:r>
      <w:r>
        <w:rPr>
          <w:rFonts w:hint="eastAsia" w:ascii="仿宋_GB2312" w:hAnsi="仿宋_GB2312" w:eastAsia="仿宋_GB2312" w:cs="仿宋_GB2312"/>
          <w:color w:val="000000"/>
          <w:szCs w:val="21"/>
        </w:rPr>
        <w:t>化学试剂硫酸</w:t>
      </w:r>
    </w:p>
    <w:tbl>
      <w:tblPr>
        <w:tblStyle w:val="10"/>
        <w:tblW w:w="8442" w:type="dxa"/>
        <w:jc w:val="center"/>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503"/>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blHeader/>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cs="仿宋_GB2312"/>
                <w:color w:val="000000"/>
                <w:sz w:val="28"/>
                <w:szCs w:val="28"/>
                <w:lang w:val="en-US" w:eastAsia="zh-CN"/>
              </w:rPr>
              <w:t xml:space="preserve"> </w:t>
            </w:r>
            <w:r>
              <w:rPr>
                <w:rFonts w:hint="eastAsia" w:ascii="仿宋_GB2312" w:hAnsi="仿宋_GB2312" w:eastAsia="仿宋_GB2312" w:cs="仿宋_GB2312"/>
                <w:b/>
                <w:sz w:val="24"/>
              </w:rPr>
              <w:t>序号</w:t>
            </w:r>
          </w:p>
        </w:tc>
        <w:tc>
          <w:tcPr>
            <w:tcW w:w="150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检验项目</w:t>
            </w:r>
          </w:p>
        </w:tc>
        <w:tc>
          <w:tcPr>
            <w:tcW w:w="204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检验方法</w:t>
            </w:r>
          </w:p>
        </w:tc>
        <w:tc>
          <w:tcPr>
            <w:tcW w:w="7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强制性</w:t>
            </w: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非强制性</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bCs/>
                <w:sz w:val="24"/>
              </w:rPr>
            </w:pPr>
            <w:r>
              <w:rPr>
                <w:rFonts w:hint="eastAsia" w:ascii="仿宋_GB2312" w:hAnsi="仿宋_GB2312" w:eastAsia="仿宋_GB2312" w:cs="仿宋_GB2312"/>
                <w:b/>
                <w:sz w:val="24"/>
              </w:rPr>
              <w:t>重要项</w:t>
            </w: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bCs/>
                <w:sz w:val="24"/>
              </w:rPr>
              <w:t>较重要项</w:t>
            </w:r>
          </w:p>
        </w:tc>
        <w:tc>
          <w:tcPr>
            <w:tcW w:w="812"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503" w:type="dxa"/>
            <w:vAlign w:val="center"/>
          </w:tcPr>
          <w:p>
            <w:pPr>
              <w:pStyle w:val="4"/>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硫酸含量</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625-2007</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503" w:type="dxa"/>
            <w:vAlign w:val="center"/>
          </w:tcPr>
          <w:p>
            <w:pPr>
              <w:pStyle w:val="4"/>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色度</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625-2007</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503" w:type="dxa"/>
            <w:vAlign w:val="center"/>
          </w:tcPr>
          <w:p>
            <w:pPr>
              <w:pStyle w:val="4"/>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灼烧残渣</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625-2007</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503" w:type="dxa"/>
            <w:vAlign w:val="center"/>
          </w:tcPr>
          <w:p>
            <w:pPr>
              <w:pStyle w:val="4"/>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氯化物</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625-2007</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503" w:type="dxa"/>
            <w:vAlign w:val="center"/>
          </w:tcPr>
          <w:p>
            <w:pPr>
              <w:pStyle w:val="4"/>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硝酸盐</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625-2007</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503" w:type="dxa"/>
            <w:vAlign w:val="center"/>
          </w:tcPr>
          <w:p>
            <w:pPr>
              <w:pStyle w:val="4"/>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铵盐</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625-2007</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503" w:type="dxa"/>
            <w:vAlign w:val="center"/>
          </w:tcPr>
          <w:p>
            <w:pPr>
              <w:pStyle w:val="4"/>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铁</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625-2007</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503" w:type="dxa"/>
            <w:vAlign w:val="center"/>
          </w:tcPr>
          <w:p>
            <w:pPr>
              <w:pStyle w:val="4"/>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铜</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625-2007</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1503" w:type="dxa"/>
            <w:vAlign w:val="center"/>
          </w:tcPr>
          <w:p>
            <w:pPr>
              <w:pStyle w:val="4"/>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砷</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625-2007</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1503" w:type="dxa"/>
            <w:vAlign w:val="center"/>
          </w:tcPr>
          <w:p>
            <w:pPr>
              <w:pStyle w:val="4"/>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铅</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625-2007</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1503" w:type="dxa"/>
            <w:vAlign w:val="center"/>
          </w:tcPr>
          <w:p>
            <w:pPr>
              <w:pStyle w:val="4"/>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还原高锰酸钾物质</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625-2007</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bl>
    <w:p>
      <w:pPr>
        <w:wordWrap/>
        <w:adjustRightInd w:val="0"/>
        <w:snapToGrid w:val="0"/>
        <w:spacing w:line="520" w:lineRule="exact"/>
        <w:ind w:right="0"/>
        <w:textAlignment w:val="auto"/>
        <w:outlineLvl w:val="9"/>
        <w:rPr>
          <w:rFonts w:hint="eastAsia" w:ascii="仿宋_GB2312" w:hAnsi="仿宋_GB2312" w:eastAsia="仿宋_GB2312" w:cs="仿宋_GB2312"/>
          <w:color w:val="000000"/>
          <w:szCs w:val="32"/>
        </w:rPr>
      </w:pPr>
      <w:r>
        <w:rPr>
          <w:rFonts w:hint="eastAsia" w:ascii="仿宋_GB2312" w:hAnsi="仿宋_GB2312" w:cs="仿宋_GB2312"/>
          <w:color w:val="000000"/>
          <w:szCs w:val="32"/>
          <w:lang w:val="en-US" w:eastAsia="zh-CN"/>
        </w:rPr>
        <w:t xml:space="preserve">    （二）</w:t>
      </w:r>
      <w:r>
        <w:rPr>
          <w:rFonts w:hint="eastAsia" w:ascii="仿宋_GB2312" w:hAnsi="仿宋_GB2312" w:eastAsia="仿宋_GB2312" w:cs="仿宋_GB2312"/>
          <w:color w:val="000000"/>
          <w:szCs w:val="32"/>
        </w:rPr>
        <w:t>工业硫酸</w:t>
      </w:r>
    </w:p>
    <w:tbl>
      <w:tblPr>
        <w:tblStyle w:val="10"/>
        <w:tblW w:w="8562" w:type="dxa"/>
        <w:jc w:val="center"/>
        <w:tblInd w:w="5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549"/>
        <w:gridCol w:w="1946"/>
        <w:gridCol w:w="810"/>
        <w:gridCol w:w="870"/>
        <w:gridCol w:w="855"/>
        <w:gridCol w:w="825"/>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82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cs="仿宋_GB2312"/>
                <w:color w:val="000000"/>
                <w:sz w:val="28"/>
                <w:szCs w:val="28"/>
                <w:lang w:val="en-US" w:eastAsia="zh-CN"/>
              </w:rPr>
              <w:t xml:space="preserve"> </w:t>
            </w:r>
            <w:r>
              <w:rPr>
                <w:rFonts w:hint="eastAsia" w:ascii="仿宋_GB2312" w:hAnsi="仿宋_GB2312" w:eastAsia="仿宋_GB2312" w:cs="仿宋_GB2312"/>
                <w:b/>
                <w:sz w:val="24"/>
              </w:rPr>
              <w:t>序号</w:t>
            </w:r>
          </w:p>
        </w:tc>
        <w:tc>
          <w:tcPr>
            <w:tcW w:w="154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检验项目</w:t>
            </w:r>
          </w:p>
        </w:tc>
        <w:tc>
          <w:tcPr>
            <w:tcW w:w="194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检验方法</w:t>
            </w:r>
          </w:p>
        </w:tc>
        <w:tc>
          <w:tcPr>
            <w:tcW w:w="8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强制性</w:t>
            </w:r>
          </w:p>
        </w:tc>
        <w:tc>
          <w:tcPr>
            <w:tcW w:w="8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非强制性</w:t>
            </w:r>
          </w:p>
        </w:tc>
        <w:tc>
          <w:tcPr>
            <w:tcW w:w="85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bCs/>
                <w:sz w:val="24"/>
              </w:rPr>
            </w:pPr>
            <w:r>
              <w:rPr>
                <w:rFonts w:hint="eastAsia" w:ascii="仿宋_GB2312" w:hAnsi="仿宋_GB2312" w:eastAsia="仿宋_GB2312" w:cs="仿宋_GB2312"/>
                <w:b/>
                <w:sz w:val="24"/>
              </w:rPr>
              <w:t>重要项</w:t>
            </w:r>
          </w:p>
        </w:tc>
        <w:tc>
          <w:tcPr>
            <w:tcW w:w="8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bCs/>
                <w:sz w:val="24"/>
              </w:rPr>
              <w:t>较重要项</w:t>
            </w:r>
          </w:p>
        </w:tc>
        <w:tc>
          <w:tcPr>
            <w:tcW w:w="883"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4"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549" w:type="dxa"/>
            <w:vAlign w:val="center"/>
          </w:tcPr>
          <w:p>
            <w:pPr>
              <w:pStyle w:val="12"/>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pacing w:val="0"/>
                <w:kern w:val="2"/>
                <w:sz w:val="24"/>
                <w:szCs w:val="18"/>
              </w:rPr>
            </w:pPr>
            <w:r>
              <w:rPr>
                <w:rFonts w:hint="eastAsia" w:ascii="仿宋_GB2312" w:hAnsi="仿宋_GB2312" w:eastAsia="仿宋_GB2312" w:cs="仿宋_GB2312"/>
                <w:spacing w:val="0"/>
                <w:kern w:val="2"/>
                <w:sz w:val="24"/>
                <w:szCs w:val="18"/>
              </w:rPr>
              <w:t>硫酸质量分数</w:t>
            </w:r>
          </w:p>
        </w:tc>
        <w:tc>
          <w:tcPr>
            <w:tcW w:w="194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534-2014</w:t>
            </w:r>
          </w:p>
        </w:tc>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7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2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83"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824"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549" w:type="dxa"/>
            <w:vAlign w:val="center"/>
          </w:tcPr>
          <w:p>
            <w:pPr>
              <w:pStyle w:val="4"/>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灰分</w:t>
            </w:r>
          </w:p>
        </w:tc>
        <w:tc>
          <w:tcPr>
            <w:tcW w:w="194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534-2014</w:t>
            </w:r>
          </w:p>
        </w:tc>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7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2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83"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4"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549" w:type="dxa"/>
            <w:vAlign w:val="center"/>
          </w:tcPr>
          <w:p>
            <w:pPr>
              <w:pStyle w:val="4"/>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kern w:val="2"/>
                <w:sz w:val="24"/>
              </w:rPr>
            </w:pPr>
            <w:r>
              <w:rPr>
                <w:rFonts w:hint="eastAsia" w:ascii="仿宋_GB2312" w:hAnsi="仿宋_GB2312" w:eastAsia="仿宋_GB2312" w:cs="仿宋_GB2312"/>
                <w:kern w:val="2"/>
                <w:sz w:val="24"/>
              </w:rPr>
              <w:t>铁</w:t>
            </w:r>
          </w:p>
        </w:tc>
        <w:tc>
          <w:tcPr>
            <w:tcW w:w="194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534-2014</w:t>
            </w:r>
          </w:p>
        </w:tc>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7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2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83"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4"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549" w:type="dxa"/>
            <w:vAlign w:val="center"/>
          </w:tcPr>
          <w:p>
            <w:pPr>
              <w:pStyle w:val="12"/>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pacing w:val="0"/>
                <w:kern w:val="2"/>
                <w:sz w:val="24"/>
                <w:szCs w:val="18"/>
              </w:rPr>
            </w:pPr>
            <w:r>
              <w:rPr>
                <w:rFonts w:hint="eastAsia" w:ascii="仿宋_GB2312" w:hAnsi="仿宋_GB2312" w:eastAsia="仿宋_GB2312" w:cs="仿宋_GB2312"/>
                <w:spacing w:val="0"/>
                <w:kern w:val="2"/>
                <w:sz w:val="24"/>
                <w:szCs w:val="18"/>
              </w:rPr>
              <w:t>砷</w:t>
            </w:r>
          </w:p>
        </w:tc>
        <w:tc>
          <w:tcPr>
            <w:tcW w:w="194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534-2014</w:t>
            </w:r>
          </w:p>
        </w:tc>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7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2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83"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4"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54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18"/>
              </w:rPr>
            </w:pPr>
            <w:r>
              <w:rPr>
                <w:rFonts w:hint="eastAsia" w:ascii="仿宋_GB2312" w:hAnsi="仿宋_GB2312" w:eastAsia="仿宋_GB2312" w:cs="仿宋_GB2312"/>
                <w:sz w:val="24"/>
                <w:szCs w:val="18"/>
              </w:rPr>
              <w:t>汞</w:t>
            </w:r>
          </w:p>
        </w:tc>
        <w:tc>
          <w:tcPr>
            <w:tcW w:w="194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534-2014</w:t>
            </w:r>
          </w:p>
        </w:tc>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7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2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83"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4"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54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18"/>
              </w:rPr>
            </w:pPr>
            <w:r>
              <w:rPr>
                <w:rFonts w:hint="eastAsia" w:ascii="仿宋_GB2312" w:hAnsi="仿宋_GB2312" w:eastAsia="仿宋_GB2312" w:cs="仿宋_GB2312"/>
                <w:sz w:val="24"/>
                <w:szCs w:val="18"/>
              </w:rPr>
              <w:t>铅</w:t>
            </w:r>
          </w:p>
        </w:tc>
        <w:tc>
          <w:tcPr>
            <w:tcW w:w="194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534-2014</w:t>
            </w:r>
          </w:p>
        </w:tc>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7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2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83"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4"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54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18"/>
              </w:rPr>
            </w:pPr>
            <w:r>
              <w:rPr>
                <w:rFonts w:hint="eastAsia" w:ascii="仿宋_GB2312" w:hAnsi="仿宋_GB2312" w:eastAsia="仿宋_GB2312" w:cs="仿宋_GB2312"/>
                <w:sz w:val="24"/>
                <w:szCs w:val="18"/>
              </w:rPr>
              <w:t>透明度</w:t>
            </w:r>
          </w:p>
        </w:tc>
        <w:tc>
          <w:tcPr>
            <w:tcW w:w="194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534-2014</w:t>
            </w:r>
          </w:p>
        </w:tc>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7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2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83"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4"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54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18"/>
              </w:rPr>
            </w:pPr>
            <w:r>
              <w:rPr>
                <w:rFonts w:hint="eastAsia" w:ascii="仿宋_GB2312" w:hAnsi="仿宋_GB2312" w:eastAsia="仿宋_GB2312" w:cs="仿宋_GB2312"/>
                <w:sz w:val="24"/>
                <w:szCs w:val="18"/>
              </w:rPr>
              <w:t>色度</w:t>
            </w:r>
          </w:p>
        </w:tc>
        <w:tc>
          <w:tcPr>
            <w:tcW w:w="194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534-2014</w:t>
            </w:r>
          </w:p>
        </w:tc>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7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2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83"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bl>
    <w:p>
      <w:pPr>
        <w:wordWrap/>
        <w:adjustRightInd w:val="0"/>
        <w:snapToGrid w:val="0"/>
        <w:spacing w:line="520" w:lineRule="exact"/>
        <w:ind w:right="0"/>
        <w:textAlignment w:val="auto"/>
        <w:outlineLvl w:val="9"/>
        <w:rPr>
          <w:rFonts w:hint="eastAsia" w:ascii="仿宋_GB2312" w:hAnsi="仿宋_GB2312" w:eastAsia="仿宋_GB2312" w:cs="仿宋_GB2312"/>
          <w:color w:val="000000"/>
          <w:szCs w:val="32"/>
        </w:rPr>
      </w:pPr>
      <w:r>
        <w:rPr>
          <w:rFonts w:hint="eastAsia" w:ascii="仿宋_GB2312" w:hAnsi="仿宋_GB2312" w:cs="仿宋_GB2312"/>
          <w:color w:val="000000"/>
          <w:szCs w:val="32"/>
          <w:lang w:val="en-US" w:eastAsia="zh-CN"/>
        </w:rPr>
        <w:t xml:space="preserve">    （三）</w:t>
      </w:r>
      <w:r>
        <w:rPr>
          <w:rFonts w:hint="eastAsia" w:ascii="仿宋_GB2312" w:hAnsi="仿宋_GB2312" w:eastAsia="仿宋_GB2312" w:cs="仿宋_GB2312"/>
          <w:color w:val="000000"/>
          <w:szCs w:val="32"/>
        </w:rPr>
        <w:t>次氯酸钠</w:t>
      </w:r>
    </w:p>
    <w:tbl>
      <w:tblPr>
        <w:tblStyle w:val="10"/>
        <w:tblW w:w="8607" w:type="dxa"/>
        <w:jc w:val="center"/>
        <w:tblInd w:w="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496"/>
        <w:gridCol w:w="1924"/>
        <w:gridCol w:w="856"/>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92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cs="仿宋_GB2312"/>
                <w:color w:val="000000"/>
                <w:sz w:val="28"/>
                <w:szCs w:val="28"/>
                <w:lang w:val="en-US" w:eastAsia="zh-CN"/>
              </w:rPr>
              <w:t xml:space="preserve"> </w:t>
            </w:r>
            <w:r>
              <w:rPr>
                <w:rFonts w:hint="eastAsia" w:ascii="仿宋_GB2312" w:hAnsi="仿宋_GB2312" w:eastAsia="仿宋_GB2312" w:cs="仿宋_GB2312"/>
                <w:b/>
                <w:sz w:val="24"/>
              </w:rPr>
              <w:t>序号</w:t>
            </w:r>
          </w:p>
        </w:tc>
        <w:tc>
          <w:tcPr>
            <w:tcW w:w="149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检验项目</w:t>
            </w:r>
          </w:p>
        </w:tc>
        <w:tc>
          <w:tcPr>
            <w:tcW w:w="192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检验方法</w:t>
            </w:r>
          </w:p>
        </w:tc>
        <w:tc>
          <w:tcPr>
            <w:tcW w:w="85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强制性</w:t>
            </w: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非强制性</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重要项</w:t>
            </w: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较重要项</w:t>
            </w:r>
          </w:p>
        </w:tc>
        <w:tc>
          <w:tcPr>
            <w:tcW w:w="812"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2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49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外观</w:t>
            </w:r>
          </w:p>
        </w:tc>
        <w:tc>
          <w:tcPr>
            <w:tcW w:w="1924" w:type="dxa"/>
            <w:vAlign w:val="top"/>
          </w:tcPr>
          <w:p>
            <w:pPr>
              <w:widowControl w:val="0"/>
              <w:wordWrap/>
              <w:adjustRightInd w:val="0"/>
              <w:snapToGrid w:val="0"/>
              <w:spacing w:line="400" w:lineRule="exact"/>
              <w:ind w:left="0" w:leftChars="0" w:right="0" w:firstLine="0" w:firstLineChars="0"/>
              <w:jc w:val="left"/>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GB/T19106-2013</w:t>
            </w:r>
          </w:p>
        </w:tc>
        <w:tc>
          <w:tcPr>
            <w:tcW w:w="85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92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49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有效氯</w:t>
            </w:r>
          </w:p>
        </w:tc>
        <w:tc>
          <w:tcPr>
            <w:tcW w:w="1924" w:type="dxa"/>
            <w:vAlign w:val="top"/>
          </w:tcPr>
          <w:p>
            <w:pPr>
              <w:widowControl w:val="0"/>
              <w:wordWrap/>
              <w:adjustRightInd w:val="0"/>
              <w:snapToGrid w:val="0"/>
              <w:spacing w:line="400" w:lineRule="exact"/>
              <w:ind w:left="0" w:leftChars="0" w:right="0" w:firstLine="0" w:firstLineChars="0"/>
              <w:jc w:val="left"/>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GB/T19106-2013</w:t>
            </w:r>
          </w:p>
        </w:tc>
        <w:tc>
          <w:tcPr>
            <w:tcW w:w="85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2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49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游离碱</w:t>
            </w:r>
          </w:p>
        </w:tc>
        <w:tc>
          <w:tcPr>
            <w:tcW w:w="1924" w:type="dxa"/>
            <w:vAlign w:val="top"/>
          </w:tcPr>
          <w:p>
            <w:pPr>
              <w:widowControl w:val="0"/>
              <w:wordWrap/>
              <w:adjustRightInd w:val="0"/>
              <w:snapToGrid w:val="0"/>
              <w:spacing w:line="400" w:lineRule="exact"/>
              <w:ind w:left="0" w:leftChars="0" w:right="0" w:firstLine="0" w:firstLineChars="0"/>
              <w:jc w:val="left"/>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GB/T19106-2013</w:t>
            </w:r>
          </w:p>
        </w:tc>
        <w:tc>
          <w:tcPr>
            <w:tcW w:w="85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2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49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铁</w:t>
            </w:r>
          </w:p>
        </w:tc>
        <w:tc>
          <w:tcPr>
            <w:tcW w:w="1924" w:type="dxa"/>
            <w:vAlign w:val="top"/>
          </w:tcPr>
          <w:p>
            <w:pPr>
              <w:widowControl w:val="0"/>
              <w:wordWrap/>
              <w:adjustRightInd w:val="0"/>
              <w:snapToGrid w:val="0"/>
              <w:spacing w:line="400" w:lineRule="exact"/>
              <w:ind w:left="0" w:leftChars="0" w:right="0" w:firstLine="0" w:firstLineChars="0"/>
              <w:jc w:val="left"/>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9106-2013</w:t>
            </w:r>
          </w:p>
        </w:tc>
        <w:tc>
          <w:tcPr>
            <w:tcW w:w="85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2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496"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重金属（以Pb计）</w:t>
            </w:r>
          </w:p>
        </w:tc>
        <w:tc>
          <w:tcPr>
            <w:tcW w:w="1924" w:type="dxa"/>
            <w:vAlign w:val="top"/>
          </w:tcPr>
          <w:p>
            <w:pPr>
              <w:widowControl w:val="0"/>
              <w:wordWrap/>
              <w:adjustRightInd w:val="0"/>
              <w:snapToGrid w:val="0"/>
              <w:spacing w:line="400" w:lineRule="exact"/>
              <w:ind w:left="0" w:leftChars="0" w:right="0" w:firstLine="0" w:firstLineChars="0"/>
              <w:jc w:val="left"/>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GB/T19106-2013</w:t>
            </w:r>
          </w:p>
        </w:tc>
        <w:tc>
          <w:tcPr>
            <w:tcW w:w="85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2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496"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砷（As）</w:t>
            </w:r>
          </w:p>
        </w:tc>
        <w:tc>
          <w:tcPr>
            <w:tcW w:w="1924" w:type="dxa"/>
            <w:vAlign w:val="top"/>
          </w:tcPr>
          <w:p>
            <w:pPr>
              <w:widowControl w:val="0"/>
              <w:wordWrap/>
              <w:adjustRightInd w:val="0"/>
              <w:snapToGrid w:val="0"/>
              <w:spacing w:line="400" w:lineRule="exact"/>
              <w:ind w:left="0" w:leftChars="0" w:right="0" w:firstLine="0" w:firstLineChars="0"/>
              <w:jc w:val="left"/>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GB/T19106-2013</w:t>
            </w:r>
          </w:p>
        </w:tc>
        <w:tc>
          <w:tcPr>
            <w:tcW w:w="85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3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bl>
    <w:p>
      <w:pPr>
        <w:wordWrap/>
        <w:adjustRightInd w:val="0"/>
        <w:snapToGrid w:val="0"/>
        <w:spacing w:line="520" w:lineRule="exact"/>
        <w:ind w:right="0"/>
        <w:textAlignment w:val="auto"/>
        <w:outlineLvl w:val="9"/>
        <w:rPr>
          <w:rFonts w:hint="eastAsia" w:ascii="仿宋_GB2312" w:hAnsi="仿宋_GB2312" w:eastAsia="仿宋_GB2312" w:cs="仿宋_GB2312"/>
          <w:color w:val="000000"/>
          <w:szCs w:val="21"/>
        </w:rPr>
      </w:pPr>
      <w:r>
        <w:rPr>
          <w:rFonts w:hint="eastAsia" w:ascii="仿宋_GB2312" w:hAnsi="仿宋_GB2312" w:cs="仿宋_GB2312"/>
          <w:color w:val="000000"/>
          <w:szCs w:val="21"/>
          <w:lang w:val="en-US" w:eastAsia="zh-CN"/>
        </w:rPr>
        <w:t xml:space="preserve">    （四）</w:t>
      </w:r>
      <w:r>
        <w:rPr>
          <w:rFonts w:hint="eastAsia" w:ascii="仿宋_GB2312" w:hAnsi="仿宋_GB2312" w:eastAsia="仿宋_GB2312" w:cs="仿宋_GB2312"/>
          <w:color w:val="000000"/>
          <w:szCs w:val="21"/>
        </w:rPr>
        <w:t>副产盐酸</w:t>
      </w:r>
    </w:p>
    <w:tbl>
      <w:tblPr>
        <w:tblStyle w:val="10"/>
        <w:tblW w:w="8596" w:type="dxa"/>
        <w:jc w:val="center"/>
        <w:tblInd w:w="5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551"/>
        <w:gridCol w:w="1929"/>
        <w:gridCol w:w="851"/>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85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cs="仿宋_GB2312"/>
                <w:color w:val="000000"/>
                <w:sz w:val="28"/>
                <w:szCs w:val="28"/>
                <w:lang w:val="en-US" w:eastAsia="zh-CN"/>
              </w:rPr>
              <w:t xml:space="preserve"> </w:t>
            </w:r>
            <w:r>
              <w:rPr>
                <w:rFonts w:hint="eastAsia" w:ascii="仿宋_GB2312" w:hAnsi="仿宋_GB2312" w:eastAsia="仿宋_GB2312" w:cs="仿宋_GB2312"/>
                <w:b/>
                <w:sz w:val="24"/>
              </w:rPr>
              <w:t>序号</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检验项目</w:t>
            </w:r>
          </w:p>
        </w:tc>
        <w:tc>
          <w:tcPr>
            <w:tcW w:w="192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检验方法</w:t>
            </w:r>
          </w:p>
        </w:tc>
        <w:tc>
          <w:tcPr>
            <w:tcW w:w="85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强制性</w:t>
            </w: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非强制性</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重要项</w:t>
            </w: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较重要项</w:t>
            </w:r>
          </w:p>
        </w:tc>
        <w:tc>
          <w:tcPr>
            <w:tcW w:w="812"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外观</w:t>
            </w:r>
          </w:p>
        </w:tc>
        <w:tc>
          <w:tcPr>
            <w:tcW w:w="1929"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HG/T 3783-2021</w:t>
            </w:r>
          </w:p>
        </w:tc>
        <w:tc>
          <w:tcPr>
            <w:tcW w:w="85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总酸度（HCl）质量分数</w:t>
            </w:r>
          </w:p>
        </w:tc>
        <w:tc>
          <w:tcPr>
            <w:tcW w:w="1929"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HG/T 3783-2021</w:t>
            </w:r>
          </w:p>
        </w:tc>
        <w:tc>
          <w:tcPr>
            <w:tcW w:w="85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rPr>
            </w:pPr>
          </w:p>
        </w:tc>
      </w:tr>
    </w:tbl>
    <w:p>
      <w:pPr>
        <w:wordWrap/>
        <w:adjustRightInd w:val="0"/>
        <w:snapToGrid w:val="0"/>
        <w:spacing w:line="520" w:lineRule="exact"/>
        <w:ind w:right="0"/>
        <w:textAlignment w:val="auto"/>
        <w:outlineLvl w:val="9"/>
        <w:rPr>
          <w:rFonts w:hint="eastAsia" w:ascii="仿宋_GB2312" w:hAnsi="仿宋_GB2312" w:eastAsia="仿宋_GB2312" w:cs="仿宋_GB2312"/>
          <w:color w:val="000000"/>
          <w:szCs w:val="21"/>
        </w:rPr>
      </w:pPr>
      <w:r>
        <w:rPr>
          <w:rFonts w:hint="eastAsia" w:ascii="仿宋_GB2312" w:hAnsi="仿宋_GB2312" w:cs="仿宋_GB2312"/>
          <w:color w:val="000000"/>
          <w:szCs w:val="21"/>
          <w:lang w:val="en-US" w:eastAsia="zh-CN"/>
        </w:rPr>
        <w:t xml:space="preserve">    （五）</w:t>
      </w:r>
      <w:r>
        <w:rPr>
          <w:rFonts w:hint="eastAsia" w:ascii="仿宋_GB2312" w:hAnsi="仿宋_GB2312" w:eastAsia="仿宋_GB2312" w:cs="仿宋_GB2312"/>
          <w:color w:val="000000"/>
          <w:szCs w:val="21"/>
        </w:rPr>
        <w:t>工业用甲醛</w:t>
      </w:r>
    </w:p>
    <w:tbl>
      <w:tblPr>
        <w:tblStyle w:val="10"/>
        <w:tblW w:w="8667" w:type="dxa"/>
        <w:jc w:val="center"/>
        <w:tblInd w:w="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571"/>
        <w:gridCol w:w="1894"/>
        <w:gridCol w:w="886"/>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9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cs="仿宋_GB2312"/>
                <w:color w:val="000000"/>
                <w:sz w:val="28"/>
                <w:szCs w:val="28"/>
                <w:lang w:val="en-US" w:eastAsia="zh-CN"/>
              </w:rPr>
              <w:t xml:space="preserve"> </w:t>
            </w:r>
            <w:r>
              <w:rPr>
                <w:rFonts w:hint="eastAsia" w:ascii="仿宋_GB2312" w:hAnsi="仿宋_GB2312" w:eastAsia="仿宋_GB2312" w:cs="仿宋_GB2312"/>
                <w:b/>
                <w:sz w:val="24"/>
              </w:rPr>
              <w:t>序号</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检验项目</w:t>
            </w:r>
          </w:p>
        </w:tc>
        <w:tc>
          <w:tcPr>
            <w:tcW w:w="189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检验方法</w:t>
            </w:r>
          </w:p>
        </w:tc>
        <w:tc>
          <w:tcPr>
            <w:tcW w:w="88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强制性</w:t>
            </w: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非强制性</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重要项</w:t>
            </w: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较重要项</w:t>
            </w:r>
          </w:p>
        </w:tc>
        <w:tc>
          <w:tcPr>
            <w:tcW w:w="812"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外观</w:t>
            </w:r>
          </w:p>
        </w:tc>
        <w:tc>
          <w:tcPr>
            <w:tcW w:w="1894" w:type="dxa"/>
            <w:tcBorders>
              <w:top w:val="single" w:color="auto" w:sz="4" w:space="0"/>
              <w:left w:val="single" w:color="auto" w:sz="4" w:space="0"/>
              <w:right w:val="single" w:color="auto" w:sz="4" w:space="0"/>
            </w:tcBorders>
            <w:vAlign w:val="top"/>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9009-2011</w:t>
            </w:r>
          </w:p>
        </w:tc>
        <w:tc>
          <w:tcPr>
            <w:tcW w:w="88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w:t>
            </w: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9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2</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密度</w:t>
            </w:r>
          </w:p>
        </w:tc>
        <w:tc>
          <w:tcPr>
            <w:tcW w:w="1894" w:type="dxa"/>
            <w:tcBorders>
              <w:top w:val="single" w:color="auto" w:sz="4" w:space="0"/>
              <w:left w:val="single" w:color="auto" w:sz="4" w:space="0"/>
              <w:right w:val="single" w:color="auto" w:sz="4" w:space="0"/>
            </w:tcBorders>
            <w:vAlign w:val="top"/>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9009-2011</w:t>
            </w:r>
          </w:p>
        </w:tc>
        <w:tc>
          <w:tcPr>
            <w:tcW w:w="88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w:t>
            </w: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3</w:t>
            </w:r>
          </w:p>
        </w:tc>
        <w:tc>
          <w:tcPr>
            <w:tcW w:w="1571"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甲醛</w:t>
            </w:r>
          </w:p>
        </w:tc>
        <w:tc>
          <w:tcPr>
            <w:tcW w:w="1894" w:type="dxa"/>
            <w:tcBorders>
              <w:left w:val="single" w:color="auto" w:sz="4" w:space="0"/>
              <w:right w:val="single" w:color="auto" w:sz="4" w:space="0"/>
            </w:tcBorders>
            <w:vAlign w:val="top"/>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9009-2011</w:t>
            </w:r>
          </w:p>
        </w:tc>
        <w:tc>
          <w:tcPr>
            <w:tcW w:w="88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w:t>
            </w: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p>
        </w:tc>
      </w:tr>
    </w:tbl>
    <w:p>
      <w:pPr>
        <w:wordWrap/>
        <w:adjustRightInd w:val="0"/>
        <w:snapToGrid w:val="0"/>
        <w:spacing w:line="520" w:lineRule="exact"/>
        <w:ind w:right="0"/>
        <w:textAlignment w:val="auto"/>
        <w:outlineLvl w:val="9"/>
        <w:rPr>
          <w:rFonts w:hint="eastAsia" w:ascii="仿宋_GB2312" w:hAnsi="仿宋_GB2312" w:eastAsia="仿宋_GB2312" w:cs="仿宋_GB2312"/>
          <w:color w:val="000000"/>
          <w:szCs w:val="21"/>
        </w:rPr>
      </w:pPr>
      <w:r>
        <w:rPr>
          <w:rFonts w:hint="eastAsia" w:ascii="仿宋_GB2312" w:hAnsi="仿宋_GB2312" w:cs="仿宋_GB2312"/>
          <w:color w:val="000000"/>
          <w:szCs w:val="21"/>
          <w:lang w:val="en-US" w:eastAsia="zh-CN"/>
        </w:rPr>
        <w:t xml:space="preserve">    （六）</w:t>
      </w:r>
      <w:r>
        <w:rPr>
          <w:rFonts w:hint="eastAsia" w:ascii="仿宋_GB2312" w:hAnsi="仿宋_GB2312" w:eastAsia="仿宋_GB2312" w:cs="仿宋_GB2312"/>
          <w:color w:val="000000"/>
          <w:szCs w:val="21"/>
        </w:rPr>
        <w:t>化学试剂 氨水</w:t>
      </w:r>
    </w:p>
    <w:tbl>
      <w:tblPr>
        <w:tblStyle w:val="10"/>
        <w:tblW w:w="8764" w:type="dxa"/>
        <w:jc w:val="center"/>
        <w:tblInd w:w="3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394"/>
        <w:gridCol w:w="2267"/>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95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cs="仿宋_GB2312"/>
                <w:color w:val="000000"/>
                <w:sz w:val="28"/>
                <w:szCs w:val="28"/>
                <w:lang w:val="en-US" w:eastAsia="zh-CN"/>
              </w:rPr>
              <w:t xml:space="preserve"> </w:t>
            </w:r>
            <w:r>
              <w:rPr>
                <w:rFonts w:hint="eastAsia" w:ascii="仿宋_GB2312" w:hAnsi="仿宋_GB2312" w:eastAsia="仿宋_GB2312" w:cs="仿宋_GB2312"/>
                <w:b/>
                <w:sz w:val="24"/>
              </w:rPr>
              <w:t>序号</w:t>
            </w:r>
          </w:p>
        </w:tc>
        <w:tc>
          <w:tcPr>
            <w:tcW w:w="139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检验项目</w:t>
            </w:r>
          </w:p>
        </w:tc>
        <w:tc>
          <w:tcPr>
            <w:tcW w:w="226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检验方法</w:t>
            </w:r>
          </w:p>
        </w:tc>
        <w:tc>
          <w:tcPr>
            <w:tcW w:w="7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强制性</w:t>
            </w: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非强制性</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重要项</w:t>
            </w: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较重要项</w:t>
            </w:r>
          </w:p>
        </w:tc>
        <w:tc>
          <w:tcPr>
            <w:tcW w:w="812"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rPr>
            </w:pPr>
            <w:r>
              <w:rPr>
                <w:rFonts w:hint="eastAsia" w:ascii="仿宋_GB2312" w:hAnsi="仿宋_GB2312" w:eastAsia="仿宋_GB2312" w:cs="仿宋_GB2312"/>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w:t>
            </w:r>
          </w:p>
        </w:tc>
        <w:tc>
          <w:tcPr>
            <w:tcW w:w="1394"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含量（NH</w:t>
            </w:r>
            <w:r>
              <w:rPr>
                <w:rFonts w:hint="eastAsia" w:ascii="仿宋_GB2312" w:hAnsi="仿宋_GB2312" w:eastAsia="仿宋_GB2312" w:cs="仿宋_GB2312"/>
                <w:bCs/>
                <w:color w:val="000000"/>
                <w:sz w:val="24"/>
                <w:vertAlign w:val="subscript"/>
              </w:rPr>
              <w:t>3</w:t>
            </w:r>
            <w:r>
              <w:rPr>
                <w:rFonts w:hint="eastAsia" w:ascii="仿宋_GB2312" w:hAnsi="仿宋_GB2312" w:eastAsia="仿宋_GB2312" w:cs="仿宋_GB2312"/>
                <w:bCs/>
                <w:color w:val="000000"/>
                <w:sz w:val="24"/>
              </w:rPr>
              <w:t>）</w:t>
            </w:r>
          </w:p>
        </w:tc>
        <w:tc>
          <w:tcPr>
            <w:tcW w:w="2267" w:type="dxa"/>
            <w:tcBorders>
              <w:top w:val="single" w:color="auto" w:sz="4" w:space="0"/>
              <w:left w:val="single" w:color="auto" w:sz="4" w:space="0"/>
              <w:right w:val="single" w:color="auto" w:sz="4" w:space="0"/>
            </w:tcBorders>
            <w:vAlign w:val="top"/>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631-2007</w:t>
            </w:r>
          </w:p>
        </w:tc>
        <w:tc>
          <w:tcPr>
            <w:tcW w:w="7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w:t>
            </w: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2</w:t>
            </w:r>
          </w:p>
        </w:tc>
        <w:tc>
          <w:tcPr>
            <w:tcW w:w="1394" w:type="dxa"/>
            <w:tcBorders>
              <w:top w:val="single" w:color="auto" w:sz="4" w:space="0"/>
              <w:left w:val="single" w:color="auto" w:sz="4" w:space="0"/>
              <w:bottom w:val="single" w:color="auto" w:sz="4" w:space="0"/>
              <w:right w:val="single" w:color="auto" w:sz="4" w:space="0"/>
            </w:tcBorders>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蒸发残渣</w:t>
            </w:r>
          </w:p>
        </w:tc>
        <w:tc>
          <w:tcPr>
            <w:tcW w:w="2267" w:type="dxa"/>
            <w:tcBorders>
              <w:top w:val="single" w:color="auto" w:sz="4" w:space="0"/>
              <w:left w:val="single" w:color="auto" w:sz="4" w:space="0"/>
              <w:right w:val="single" w:color="auto" w:sz="4" w:space="0"/>
            </w:tcBorders>
            <w:vAlign w:val="top"/>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GB/T 631-2007</w:t>
            </w:r>
          </w:p>
        </w:tc>
        <w:tc>
          <w:tcPr>
            <w:tcW w:w="7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w:t>
            </w: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Cs/>
                <w:color w:val="000000"/>
                <w:sz w:val="24"/>
              </w:rPr>
            </w:pPr>
          </w:p>
        </w:tc>
      </w:tr>
    </w:tbl>
    <w:p>
      <w:pPr>
        <w:widowControl w:val="0"/>
        <w:wordWrap/>
        <w:adjustRightInd w:val="0"/>
        <w:snapToGrid w:val="0"/>
        <w:spacing w:line="400" w:lineRule="exact"/>
        <w:ind w:left="0" w:leftChars="0" w:right="0" w:firstLine="480" w:firstLineChars="200"/>
        <w:textAlignment w:val="auto"/>
        <w:outlineLvl w:val="9"/>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注：检验前如发现样品凝固、结块或者其他致使检验无法进行的情况，检验机构必须如实记录即时情况，提供图片等充分的证明材料，并将有关情况上报组织监督抽查的部门。</w:t>
      </w:r>
    </w:p>
    <w:p>
      <w:pPr>
        <w:widowControl w:val="0"/>
        <w:wordWrap/>
        <w:adjustRightInd w:val="0"/>
        <w:snapToGrid w:val="0"/>
        <w:spacing w:line="400" w:lineRule="exact"/>
        <w:ind w:left="0" w:leftChars="0" w:right="0" w:firstLine="480" w:firstLineChars="200"/>
        <w:jc w:val="left"/>
        <w:textAlignment w:val="auto"/>
        <w:outlineLvl w:val="9"/>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注：执行企业标准、团体标准、地方标准的产品，检验项目参照上述内容执行。</w:t>
      </w:r>
    </w:p>
    <w:p>
      <w:pPr>
        <w:widowControl w:val="0"/>
        <w:wordWrap/>
        <w:adjustRightInd w:val="0"/>
        <w:snapToGrid w:val="0"/>
        <w:spacing w:line="400" w:lineRule="exact"/>
        <w:ind w:left="0" w:leftChars="0" w:right="0" w:firstLine="480" w:firstLineChars="200"/>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color w:val="000000"/>
          <w:sz w:val="24"/>
        </w:rPr>
        <w:t>凡是注日期的文件，其随后所有的修改单（不包括勘误的内容）或修订版不适用于本细则。凡是不注日期的文件，其最新版本适用于本细则。</w:t>
      </w:r>
    </w:p>
    <w:p>
      <w:pPr>
        <w:widowControl w:val="0"/>
        <w:wordWrap/>
        <w:adjustRightInd w:val="0"/>
        <w:snapToGrid w:val="0"/>
        <w:spacing w:line="520" w:lineRule="exact"/>
        <w:ind w:left="0" w:leftChars="0" w:right="0" w:firstLine="640" w:firstLineChars="200"/>
        <w:jc w:val="both"/>
        <w:textAlignment w:val="auto"/>
        <w:outlineLvl w:val="9"/>
        <w:rPr>
          <w:rFonts w:hint="eastAsia" w:ascii="黑体" w:hAnsi="黑体" w:eastAsia="黑体" w:cs="黑体"/>
          <w:color w:val="000000"/>
          <w:szCs w:val="32"/>
        </w:rPr>
      </w:pPr>
      <w:r>
        <w:rPr>
          <w:rFonts w:hint="eastAsia" w:ascii="黑体" w:hAnsi="黑体" w:eastAsia="黑体" w:cs="黑体"/>
          <w:color w:val="000000"/>
          <w:szCs w:val="32"/>
        </w:rPr>
        <w:t>三、判定规则</w:t>
      </w:r>
    </w:p>
    <w:p>
      <w:pPr>
        <w:widowControl w:val="0"/>
        <w:wordWrap/>
        <w:adjustRightInd w:val="0"/>
        <w:snapToGrid w:val="0"/>
        <w:spacing w:line="520" w:lineRule="exact"/>
        <w:ind w:left="0" w:leftChars="0" w:right="0" w:firstLine="640" w:firstLineChars="200"/>
        <w:jc w:val="both"/>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（一）依据标准</w:t>
      </w:r>
    </w:p>
    <w:p>
      <w:pPr>
        <w:widowControl w:val="0"/>
        <w:wordWrap/>
        <w:spacing w:line="520" w:lineRule="exact"/>
        <w:ind w:left="0" w:leftChars="0" w:right="0" w:firstLine="640"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GB/T 625-2007《化学试剂硫酸》</w:t>
      </w:r>
    </w:p>
    <w:p>
      <w:pPr>
        <w:widowControl w:val="0"/>
        <w:wordWrap/>
        <w:spacing w:line="520" w:lineRule="exact"/>
        <w:ind w:left="0" w:leftChars="0" w:right="0" w:firstLine="640"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GB/T 534-2014 《工业硫酸》</w:t>
      </w:r>
    </w:p>
    <w:p>
      <w:pPr>
        <w:widowControl w:val="0"/>
        <w:wordWrap/>
        <w:spacing w:line="520" w:lineRule="exact"/>
        <w:ind w:left="0" w:leftChars="0" w:right="0" w:firstLine="640"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GB/T 19106-2013《次氯酸钠》</w:t>
      </w:r>
    </w:p>
    <w:p>
      <w:pPr>
        <w:widowControl w:val="0"/>
        <w:wordWrap/>
        <w:spacing w:line="520" w:lineRule="exact"/>
        <w:ind w:left="0" w:leftChars="0" w:right="0" w:firstLine="640"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HG/T 3783-2021《副产盐酸》</w:t>
      </w:r>
    </w:p>
    <w:p>
      <w:pPr>
        <w:widowControl w:val="0"/>
        <w:wordWrap/>
        <w:spacing w:line="520" w:lineRule="exact"/>
        <w:ind w:left="0" w:leftChars="0" w:right="0" w:firstLine="640"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GB/T 9009-2011《工业用甲醛》</w:t>
      </w:r>
    </w:p>
    <w:p>
      <w:pPr>
        <w:widowControl w:val="0"/>
        <w:wordWrap/>
        <w:spacing w:line="520" w:lineRule="exact"/>
        <w:ind w:left="0" w:leftChars="0" w:right="0" w:firstLine="640"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GB/T 631-2007《化学试剂 氨水》</w:t>
      </w:r>
    </w:p>
    <w:p>
      <w:pPr>
        <w:wordWrap/>
        <w:adjustRightInd w:val="0"/>
        <w:snapToGrid w:val="0"/>
        <w:spacing w:line="520" w:lineRule="exact"/>
        <w:ind w:left="0" w:leftChars="0" w:right="0" w:firstLine="640" w:firstLineChars="200"/>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现行有效的企业标准、团体标准、地方标准及产品明示质量要求。</w:t>
      </w:r>
    </w:p>
    <w:p>
      <w:pPr>
        <w:wordWrap/>
        <w:adjustRightInd w:val="0"/>
        <w:snapToGrid w:val="0"/>
        <w:spacing w:line="520" w:lineRule="exact"/>
        <w:ind w:left="0" w:leftChars="0" w:right="0" w:firstLine="640" w:firstLineChars="200"/>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（二）判定原则</w:t>
      </w:r>
    </w:p>
    <w:p>
      <w:pPr>
        <w:wordWrap/>
        <w:snapToGrid w:val="0"/>
        <w:spacing w:line="520" w:lineRule="exact"/>
        <w:ind w:left="0" w:leftChars="0" w:right="0" w:firstLine="640" w:firstLineChars="200"/>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经检验，检验项目全部合格，判定为抽取的样本所检项目未检出不合格；检验项目中任一项或一项以上不合格，判定为被抽查产品不合格。</w:t>
      </w:r>
    </w:p>
    <w:p>
      <w:pPr>
        <w:pStyle w:val="11"/>
        <w:tabs>
          <w:tab w:val="clear" w:pos="4201"/>
          <w:tab w:val="clear" w:pos="9298"/>
        </w:tabs>
        <w:wordWrap/>
        <w:spacing w:line="520" w:lineRule="exact"/>
        <w:ind w:left="0" w:leftChars="0" w:righ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当被检样品明示的质量要求优于监督抽查实施细则中依据的标准要求时，应按被检样品明示的质量要求判定；</w:t>
      </w:r>
    </w:p>
    <w:p>
      <w:pPr>
        <w:pStyle w:val="11"/>
        <w:tabs>
          <w:tab w:val="clear" w:pos="4201"/>
          <w:tab w:val="clear" w:pos="9298"/>
        </w:tabs>
        <w:wordWrap/>
        <w:spacing w:line="520" w:lineRule="exact"/>
        <w:ind w:left="0" w:leftChars="0" w:righ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当被检样品明示的质量要求劣于或不包含监督抽查实施细则中依据的强制性标准要求时，应按照强制性标准要求判定；</w:t>
      </w:r>
    </w:p>
    <w:p>
      <w:pPr>
        <w:pStyle w:val="11"/>
        <w:widowControl w:val="0"/>
        <w:tabs>
          <w:tab w:val="clear" w:pos="4201"/>
          <w:tab w:val="clear" w:pos="9298"/>
        </w:tabs>
        <w:wordWrap/>
        <w:spacing w:line="520" w:lineRule="exact"/>
        <w:ind w:left="0" w:leftChars="0" w:righ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11"/>
        <w:widowControl w:val="0"/>
        <w:tabs>
          <w:tab w:val="clear" w:pos="4201"/>
          <w:tab w:val="clear" w:pos="9298"/>
        </w:tabs>
        <w:wordWrap/>
        <w:spacing w:line="520" w:lineRule="exact"/>
        <w:ind w:left="0" w:leftChars="0" w:righ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当被检样品明示的质量要求不包含监督抽查实施细则中依据的推荐性标准要求时，该指标不参与判定，但应在检验报告中作出说明；</w:t>
      </w:r>
    </w:p>
    <w:p>
      <w:pPr>
        <w:pStyle w:val="11"/>
        <w:widowControl w:val="0"/>
        <w:tabs>
          <w:tab w:val="clear" w:pos="4201"/>
          <w:tab w:val="clear" w:pos="9298"/>
        </w:tabs>
        <w:wordWrap/>
        <w:spacing w:line="520" w:lineRule="exact"/>
        <w:ind w:left="0" w:leftChars="0" w:righ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当被检样品未能提供有效的企业标准时，按相关国家或行业标准进行判定；</w:t>
      </w:r>
    </w:p>
    <w:p>
      <w:pPr>
        <w:pStyle w:val="11"/>
        <w:widowControl w:val="0"/>
        <w:tabs>
          <w:tab w:val="clear" w:pos="4201"/>
          <w:tab w:val="clear" w:pos="9298"/>
        </w:tabs>
        <w:wordWrap/>
        <w:spacing w:line="520" w:lineRule="exact"/>
        <w:ind w:left="0" w:leftChars="0" w:righ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11"/>
        <w:widowControl w:val="0"/>
        <w:tabs>
          <w:tab w:val="clear" w:pos="4201"/>
          <w:tab w:val="clear" w:pos="9298"/>
        </w:tabs>
        <w:wordWrap/>
        <w:spacing w:line="520" w:lineRule="exact"/>
        <w:ind w:left="0" w:leftChars="0" w:right="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pStyle w:val="11"/>
        <w:tabs>
          <w:tab w:val="clear" w:pos="4201"/>
          <w:tab w:val="clear" w:pos="9298"/>
        </w:tabs>
        <w:wordWrap/>
        <w:spacing w:line="520" w:lineRule="exact"/>
        <w:ind w:left="0" w:leftChars="0" w:right="0" w:firstLine="640"/>
        <w:textAlignment w:val="auto"/>
        <w:outlineLvl w:val="9"/>
        <w:rPr>
          <w:rFonts w:hint="eastAsia" w:ascii="仿宋_GB2312" w:hAnsi="仿宋_GB2312" w:eastAsia="仿宋_GB2312" w:cs="仿宋_GB2312"/>
        </w:rPr>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sectPr>
      <w:pgSz w:w="11906" w:h="16838"/>
      <w:pgMar w:top="141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汉鼎简书宋二">
    <w:altName w:val="宋体"/>
    <w:panose1 w:val="00000000000000000000"/>
    <w:charset w:val="86"/>
    <w:family w:val="auto"/>
    <w:pitch w:val="default"/>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88695598">
    <w:nsid w:val="64A7732E"/>
    <w:multiLevelType w:val="singleLevel"/>
    <w:tmpl w:val="64A7732E"/>
    <w:lvl w:ilvl="0" w:tentative="1">
      <w:start w:val="1"/>
      <w:numFmt w:val="chineseCounting"/>
      <w:suff w:val="nothing"/>
      <w:lvlText w:val="%1、"/>
      <w:lvlJc w:val="left"/>
    </w:lvl>
  </w:abstractNum>
  <w:num w:numId="1">
    <w:abstractNumId w:val="16886955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9D94F78"/>
    <w:rsid w:val="00002DC4"/>
    <w:rsid w:val="0000483D"/>
    <w:rsid w:val="00017F06"/>
    <w:rsid w:val="00027231"/>
    <w:rsid w:val="00034766"/>
    <w:rsid w:val="00040624"/>
    <w:rsid w:val="000533ED"/>
    <w:rsid w:val="00064E60"/>
    <w:rsid w:val="00082342"/>
    <w:rsid w:val="00084B11"/>
    <w:rsid w:val="00085A49"/>
    <w:rsid w:val="0008798E"/>
    <w:rsid w:val="000A11D7"/>
    <w:rsid w:val="000A3136"/>
    <w:rsid w:val="000B56BA"/>
    <w:rsid w:val="000D1673"/>
    <w:rsid w:val="000D2040"/>
    <w:rsid w:val="000E5C12"/>
    <w:rsid w:val="000E68E7"/>
    <w:rsid w:val="00106A35"/>
    <w:rsid w:val="00112355"/>
    <w:rsid w:val="00123671"/>
    <w:rsid w:val="001304D9"/>
    <w:rsid w:val="00131003"/>
    <w:rsid w:val="001405EE"/>
    <w:rsid w:val="00144400"/>
    <w:rsid w:val="00145012"/>
    <w:rsid w:val="00154D0E"/>
    <w:rsid w:val="001563C1"/>
    <w:rsid w:val="00190A33"/>
    <w:rsid w:val="001B15D2"/>
    <w:rsid w:val="001D70D2"/>
    <w:rsid w:val="001E4B28"/>
    <w:rsid w:val="001F34B8"/>
    <w:rsid w:val="00202B2F"/>
    <w:rsid w:val="0021117A"/>
    <w:rsid w:val="00216BBE"/>
    <w:rsid w:val="002234B8"/>
    <w:rsid w:val="00226CD8"/>
    <w:rsid w:val="00245F5E"/>
    <w:rsid w:val="002471A0"/>
    <w:rsid w:val="002520C8"/>
    <w:rsid w:val="00261534"/>
    <w:rsid w:val="002627C1"/>
    <w:rsid w:val="00263AE8"/>
    <w:rsid w:val="00270A5C"/>
    <w:rsid w:val="002719F1"/>
    <w:rsid w:val="00276E40"/>
    <w:rsid w:val="00283B39"/>
    <w:rsid w:val="002942CB"/>
    <w:rsid w:val="00297301"/>
    <w:rsid w:val="002B4E41"/>
    <w:rsid w:val="002C14AF"/>
    <w:rsid w:val="002C4CE4"/>
    <w:rsid w:val="002D0E3B"/>
    <w:rsid w:val="002E0860"/>
    <w:rsid w:val="002F5198"/>
    <w:rsid w:val="0030103E"/>
    <w:rsid w:val="00304A4F"/>
    <w:rsid w:val="003117C7"/>
    <w:rsid w:val="0032069A"/>
    <w:rsid w:val="003248D1"/>
    <w:rsid w:val="00335D91"/>
    <w:rsid w:val="0033670F"/>
    <w:rsid w:val="0034192C"/>
    <w:rsid w:val="00352A78"/>
    <w:rsid w:val="00355C57"/>
    <w:rsid w:val="00365D3D"/>
    <w:rsid w:val="003845BA"/>
    <w:rsid w:val="003B43D2"/>
    <w:rsid w:val="003D0BD6"/>
    <w:rsid w:val="003D193D"/>
    <w:rsid w:val="003E22A9"/>
    <w:rsid w:val="003F7486"/>
    <w:rsid w:val="00415D2E"/>
    <w:rsid w:val="00436C2F"/>
    <w:rsid w:val="00437DD1"/>
    <w:rsid w:val="004427F2"/>
    <w:rsid w:val="00491014"/>
    <w:rsid w:val="00496051"/>
    <w:rsid w:val="004B4459"/>
    <w:rsid w:val="004D16C4"/>
    <w:rsid w:val="004E1D8E"/>
    <w:rsid w:val="005008CD"/>
    <w:rsid w:val="00501412"/>
    <w:rsid w:val="005066E0"/>
    <w:rsid w:val="00517BA3"/>
    <w:rsid w:val="005254B1"/>
    <w:rsid w:val="00526B9E"/>
    <w:rsid w:val="00527FEC"/>
    <w:rsid w:val="00553B70"/>
    <w:rsid w:val="005554BE"/>
    <w:rsid w:val="00561905"/>
    <w:rsid w:val="00570807"/>
    <w:rsid w:val="0057597A"/>
    <w:rsid w:val="005864CF"/>
    <w:rsid w:val="00586D24"/>
    <w:rsid w:val="005870F8"/>
    <w:rsid w:val="005A0932"/>
    <w:rsid w:val="005A19EC"/>
    <w:rsid w:val="005B1F6B"/>
    <w:rsid w:val="005B335A"/>
    <w:rsid w:val="005C2FD8"/>
    <w:rsid w:val="005E294D"/>
    <w:rsid w:val="006010EF"/>
    <w:rsid w:val="006114B6"/>
    <w:rsid w:val="00625396"/>
    <w:rsid w:val="00650633"/>
    <w:rsid w:val="006523DC"/>
    <w:rsid w:val="00655DC3"/>
    <w:rsid w:val="00655E20"/>
    <w:rsid w:val="00663E8D"/>
    <w:rsid w:val="0068130C"/>
    <w:rsid w:val="00684A2C"/>
    <w:rsid w:val="006854AC"/>
    <w:rsid w:val="006856C9"/>
    <w:rsid w:val="006A0863"/>
    <w:rsid w:val="006A6CA5"/>
    <w:rsid w:val="006C29B7"/>
    <w:rsid w:val="00703AB6"/>
    <w:rsid w:val="007127E8"/>
    <w:rsid w:val="00724A31"/>
    <w:rsid w:val="00746A9F"/>
    <w:rsid w:val="00762631"/>
    <w:rsid w:val="00790BB4"/>
    <w:rsid w:val="007B0EE6"/>
    <w:rsid w:val="007C20B9"/>
    <w:rsid w:val="007E2DBA"/>
    <w:rsid w:val="007E3DB3"/>
    <w:rsid w:val="007F1149"/>
    <w:rsid w:val="007F173E"/>
    <w:rsid w:val="00823BA3"/>
    <w:rsid w:val="008302AF"/>
    <w:rsid w:val="00836867"/>
    <w:rsid w:val="008539AF"/>
    <w:rsid w:val="00863AE5"/>
    <w:rsid w:val="00864D2F"/>
    <w:rsid w:val="00866947"/>
    <w:rsid w:val="00876E06"/>
    <w:rsid w:val="00884082"/>
    <w:rsid w:val="008C2265"/>
    <w:rsid w:val="008D15C7"/>
    <w:rsid w:val="008D3AB0"/>
    <w:rsid w:val="008D7362"/>
    <w:rsid w:val="008E466E"/>
    <w:rsid w:val="008E75F3"/>
    <w:rsid w:val="00900850"/>
    <w:rsid w:val="009023B6"/>
    <w:rsid w:val="009268BB"/>
    <w:rsid w:val="00950997"/>
    <w:rsid w:val="00961D19"/>
    <w:rsid w:val="0096287C"/>
    <w:rsid w:val="00963F22"/>
    <w:rsid w:val="0096478E"/>
    <w:rsid w:val="00972833"/>
    <w:rsid w:val="00973845"/>
    <w:rsid w:val="00995FFC"/>
    <w:rsid w:val="009A22F2"/>
    <w:rsid w:val="009A5081"/>
    <w:rsid w:val="009C269F"/>
    <w:rsid w:val="009D041E"/>
    <w:rsid w:val="009D1AEC"/>
    <w:rsid w:val="00A0192B"/>
    <w:rsid w:val="00A059B4"/>
    <w:rsid w:val="00A21D3B"/>
    <w:rsid w:val="00A24C7B"/>
    <w:rsid w:val="00A86C76"/>
    <w:rsid w:val="00AA1596"/>
    <w:rsid w:val="00AC7750"/>
    <w:rsid w:val="00AE1BD9"/>
    <w:rsid w:val="00AE3308"/>
    <w:rsid w:val="00AF07BE"/>
    <w:rsid w:val="00B0409C"/>
    <w:rsid w:val="00B06695"/>
    <w:rsid w:val="00B26438"/>
    <w:rsid w:val="00B44B06"/>
    <w:rsid w:val="00B64895"/>
    <w:rsid w:val="00B649B2"/>
    <w:rsid w:val="00B64EF9"/>
    <w:rsid w:val="00B74E8C"/>
    <w:rsid w:val="00B81482"/>
    <w:rsid w:val="00B8394B"/>
    <w:rsid w:val="00B91DD2"/>
    <w:rsid w:val="00B92B15"/>
    <w:rsid w:val="00BC5E9C"/>
    <w:rsid w:val="00BD093E"/>
    <w:rsid w:val="00BD193E"/>
    <w:rsid w:val="00BE0547"/>
    <w:rsid w:val="00BE554D"/>
    <w:rsid w:val="00BF13D6"/>
    <w:rsid w:val="00BF62A4"/>
    <w:rsid w:val="00C00B81"/>
    <w:rsid w:val="00C133CE"/>
    <w:rsid w:val="00C3094E"/>
    <w:rsid w:val="00C4053D"/>
    <w:rsid w:val="00C4522E"/>
    <w:rsid w:val="00C502B3"/>
    <w:rsid w:val="00C52A52"/>
    <w:rsid w:val="00C561F5"/>
    <w:rsid w:val="00C575B0"/>
    <w:rsid w:val="00C67955"/>
    <w:rsid w:val="00C91A0C"/>
    <w:rsid w:val="00CA3438"/>
    <w:rsid w:val="00CA5663"/>
    <w:rsid w:val="00CD682E"/>
    <w:rsid w:val="00CE12B9"/>
    <w:rsid w:val="00CE2B96"/>
    <w:rsid w:val="00CF016F"/>
    <w:rsid w:val="00CF4489"/>
    <w:rsid w:val="00D13789"/>
    <w:rsid w:val="00D13882"/>
    <w:rsid w:val="00D247DB"/>
    <w:rsid w:val="00D24CC2"/>
    <w:rsid w:val="00D3636D"/>
    <w:rsid w:val="00D67FBF"/>
    <w:rsid w:val="00D71E7D"/>
    <w:rsid w:val="00D766D0"/>
    <w:rsid w:val="00D802D7"/>
    <w:rsid w:val="00D80CCC"/>
    <w:rsid w:val="00D8516C"/>
    <w:rsid w:val="00D92615"/>
    <w:rsid w:val="00D968B6"/>
    <w:rsid w:val="00D974CE"/>
    <w:rsid w:val="00DA066B"/>
    <w:rsid w:val="00DA1C8F"/>
    <w:rsid w:val="00DA1ED5"/>
    <w:rsid w:val="00DA50A1"/>
    <w:rsid w:val="00DC0C36"/>
    <w:rsid w:val="00DD5702"/>
    <w:rsid w:val="00DE5ED3"/>
    <w:rsid w:val="00DF74C3"/>
    <w:rsid w:val="00E02517"/>
    <w:rsid w:val="00E04BA5"/>
    <w:rsid w:val="00E05833"/>
    <w:rsid w:val="00E1493C"/>
    <w:rsid w:val="00E31C0A"/>
    <w:rsid w:val="00E32383"/>
    <w:rsid w:val="00E33476"/>
    <w:rsid w:val="00E37BD5"/>
    <w:rsid w:val="00E55DBF"/>
    <w:rsid w:val="00E653F9"/>
    <w:rsid w:val="00E72EBC"/>
    <w:rsid w:val="00E97BFC"/>
    <w:rsid w:val="00EA718C"/>
    <w:rsid w:val="00EC2032"/>
    <w:rsid w:val="00EC70AA"/>
    <w:rsid w:val="00EE5BE6"/>
    <w:rsid w:val="00EF5355"/>
    <w:rsid w:val="00F01DA1"/>
    <w:rsid w:val="00F34D9B"/>
    <w:rsid w:val="00F36D4E"/>
    <w:rsid w:val="00F72E8D"/>
    <w:rsid w:val="00F93518"/>
    <w:rsid w:val="00F94124"/>
    <w:rsid w:val="00FB1276"/>
    <w:rsid w:val="00FC4E64"/>
    <w:rsid w:val="00FC6941"/>
    <w:rsid w:val="00FE1C54"/>
    <w:rsid w:val="00FE4F65"/>
    <w:rsid w:val="00FF641B"/>
    <w:rsid w:val="0E1B3D25"/>
    <w:rsid w:val="154D3F83"/>
    <w:rsid w:val="16DD71B5"/>
    <w:rsid w:val="18FE79A0"/>
    <w:rsid w:val="1ED92B47"/>
    <w:rsid w:val="2A856EE4"/>
    <w:rsid w:val="2FEB3161"/>
    <w:rsid w:val="2FFC43C7"/>
    <w:rsid w:val="375E2A61"/>
    <w:rsid w:val="37A449D1"/>
    <w:rsid w:val="401703D7"/>
    <w:rsid w:val="45624F4B"/>
    <w:rsid w:val="49492FEE"/>
    <w:rsid w:val="4C147660"/>
    <w:rsid w:val="59D94F78"/>
    <w:rsid w:val="5B27212A"/>
    <w:rsid w:val="6CA82754"/>
    <w:rsid w:val="704B693F"/>
    <w:rsid w:val="7A05245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9"/>
    <w:pPr>
      <w:jc w:val="center"/>
      <w:outlineLvl w:val="0"/>
    </w:pPr>
    <w:rPr>
      <w:rFonts w:ascii="方正小标宋简体" w:eastAsia="方正小标宋简体"/>
      <w:kern w:val="44"/>
      <w:sz w:val="38"/>
    </w:rPr>
  </w:style>
  <w:style w:type="paragraph" w:styleId="3">
    <w:name w:val="heading 3"/>
    <w:basedOn w:val="1"/>
    <w:next w:val="1"/>
    <w:link w:val="17"/>
    <w:unhideWhenUsed/>
    <w:qFormat/>
    <w:uiPriority w:val="0"/>
    <w:pPr>
      <w:keepNext/>
      <w:keepLines/>
      <w:spacing w:before="260" w:after="260" w:line="416" w:lineRule="auto"/>
      <w:outlineLvl w:val="2"/>
    </w:pPr>
    <w:rPr>
      <w:b/>
      <w:bCs/>
      <w:szCs w:val="32"/>
    </w:rPr>
  </w:style>
  <w:style w:type="character" w:default="1" w:styleId="7">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4">
    <w:name w:val="Balloon Text"/>
    <w:basedOn w:val="1"/>
    <w:link w:val="15"/>
    <w:uiPriority w:val="0"/>
    <w:rPr>
      <w:rFonts w:eastAsia="宋体"/>
      <w:kern w:val="0"/>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8">
    <w:name w:val="Emphasis"/>
    <w:basedOn w:val="7"/>
    <w:qFormat/>
    <w:uiPriority w:val="20"/>
    <w:rPr>
      <w:i/>
      <w:iCs/>
    </w:rPr>
  </w:style>
  <w:style w:type="character" w:styleId="9">
    <w:name w:val="Hyperlink"/>
    <w:basedOn w:val="7"/>
    <w:unhideWhenUsed/>
    <w:uiPriority w:val="99"/>
    <w:rPr>
      <w:color w:val="0000FF"/>
      <w:u w:val="single"/>
    </w:rPr>
  </w:style>
  <w:style w:type="paragraph" w:customStyle="1" w:styleId="11">
    <w:name w:val="段"/>
    <w:qFormat/>
    <w:uiPriority w:val="0"/>
    <w:pPr>
      <w:tabs>
        <w:tab w:val="center" w:pos="4201"/>
        <w:tab w:val="right" w:leader="dot" w:pos="9298"/>
      </w:tabs>
      <w:autoSpaceDE w:val="0"/>
      <w:autoSpaceDN w:val="0"/>
      <w:ind w:firstLine="420" w:firstLineChars="200"/>
      <w:jc w:val="both"/>
    </w:pPr>
    <w:rPr>
      <w:rFonts w:ascii="宋体" w:hAnsi="Calibri" w:eastAsia="宋体" w:cs="黑体"/>
      <w:sz w:val="21"/>
      <w:szCs w:val="22"/>
      <w:lang w:val="en-US" w:eastAsia="zh-CN" w:bidi="ar-SA"/>
    </w:rPr>
  </w:style>
  <w:style w:type="paragraph" w:customStyle="1" w:styleId="12">
    <w:name w:val="肥料正文"/>
    <w:basedOn w:val="1"/>
    <w:uiPriority w:val="0"/>
    <w:pPr>
      <w:adjustRightInd w:val="0"/>
      <w:snapToGrid w:val="0"/>
      <w:spacing w:line="317" w:lineRule="auto"/>
      <w:ind w:firstLine="200" w:firstLineChars="200"/>
    </w:pPr>
    <w:rPr>
      <w:rFonts w:eastAsia="汉鼎简书宋二"/>
      <w:snapToGrid w:val="0"/>
      <w:spacing w:val="2"/>
      <w:kern w:val="0"/>
      <w:sz w:val="22"/>
    </w:rPr>
  </w:style>
  <w:style w:type="character" w:customStyle="1" w:styleId="13">
    <w:name w:val="页眉 Char"/>
    <w:basedOn w:val="7"/>
    <w:link w:val="6"/>
    <w:qFormat/>
    <w:uiPriority w:val="0"/>
    <w:rPr>
      <w:rFonts w:eastAsia="仿宋_GB2312"/>
      <w:kern w:val="2"/>
      <w:sz w:val="18"/>
      <w:szCs w:val="18"/>
    </w:rPr>
  </w:style>
  <w:style w:type="character" w:customStyle="1" w:styleId="14">
    <w:name w:val="页脚 Char"/>
    <w:basedOn w:val="7"/>
    <w:link w:val="5"/>
    <w:qFormat/>
    <w:uiPriority w:val="0"/>
    <w:rPr>
      <w:rFonts w:eastAsia="仿宋_GB2312"/>
      <w:kern w:val="2"/>
      <w:sz w:val="18"/>
      <w:szCs w:val="18"/>
    </w:rPr>
  </w:style>
  <w:style w:type="character" w:customStyle="1" w:styleId="15">
    <w:name w:val="批注框文本 Char"/>
    <w:link w:val="4"/>
    <w:uiPriority w:val="0"/>
    <w:rPr>
      <w:sz w:val="18"/>
      <w:szCs w:val="18"/>
    </w:rPr>
  </w:style>
  <w:style w:type="character" w:customStyle="1" w:styleId="16">
    <w:name w:val="批注框文本 Char1"/>
    <w:basedOn w:val="7"/>
    <w:uiPriority w:val="0"/>
    <w:rPr>
      <w:rFonts w:eastAsia="仿宋_GB2312"/>
      <w:kern w:val="2"/>
      <w:sz w:val="18"/>
      <w:szCs w:val="18"/>
    </w:rPr>
  </w:style>
  <w:style w:type="character" w:customStyle="1" w:styleId="17">
    <w:name w:val="标题 3 Char"/>
    <w:basedOn w:val="7"/>
    <w:link w:val="3"/>
    <w:semiHidden/>
    <w:uiPriority w:val="0"/>
    <w:rPr>
      <w:rFonts w:eastAsia="仿宋_GB2312"/>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1608</Words>
  <Characters>1044</Characters>
  <Lines>8</Lines>
  <Paragraphs>5</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2023-05-18T08:59:00Z</dcterms:created>
  <dc:creator>YWB</dc:creator>
  <cp:lastModifiedBy>杨艳华</cp:lastModifiedBy>
  <dcterms:modified xsi:type="dcterms:W3CDTF">2023-07-07T02:04:04Z</dcterms:modified>
  <dc:title>2023年清远市化工产品质量专项监督抽查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