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line="520" w:lineRule="exact"/>
        <w:ind w:left="0" w:leftChars="0" w:right="0" w:firstLine="0" w:firstLineChars="0"/>
        <w:jc w:val="both"/>
        <w:textAlignment w:val="auto"/>
        <w:outlineLvl w:val="9"/>
        <w:rPr>
          <w:rFonts w:hint="eastAsia" w:ascii="方正小标宋简体" w:hAnsi="方正小标宋简体" w:eastAsia="方正小标宋简体" w:cs="方正小标宋简体"/>
          <w:bCs/>
          <w:sz w:val="21"/>
          <w:szCs w:val="21"/>
          <w:lang w:eastAsia="zh-CN"/>
        </w:rPr>
      </w:pPr>
      <w:r>
        <w:rPr>
          <w:rFonts w:hint="eastAsia" w:ascii="方正小标宋简体" w:hAnsi="方正小标宋简体" w:eastAsia="方正小标宋简体" w:cs="方正小标宋简体"/>
          <w:bCs/>
          <w:sz w:val="21"/>
          <w:szCs w:val="21"/>
          <w:lang w:eastAsia="zh-CN"/>
        </w:rPr>
        <w:t>附件</w:t>
      </w:r>
      <w:r>
        <w:rPr>
          <w:rFonts w:hint="eastAsia" w:ascii="方正小标宋简体" w:hAnsi="方正小标宋简体" w:eastAsia="方正小标宋简体" w:cs="方正小标宋简体"/>
          <w:bCs/>
          <w:sz w:val="21"/>
          <w:szCs w:val="21"/>
          <w:lang w:val="en-US" w:eastAsia="zh-CN"/>
        </w:rPr>
        <w:t>8：</w:t>
      </w:r>
    </w:p>
    <w:p>
      <w:pPr>
        <w:widowControl/>
        <w:wordWrap/>
        <w:adjustRightInd/>
        <w:snapToGrid/>
        <w:spacing w:line="52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清远市</w:t>
      </w:r>
      <w:r>
        <w:rPr>
          <w:rFonts w:hint="eastAsia" w:ascii="方正小标宋简体" w:hAnsi="方正小标宋简体" w:eastAsia="方正小标宋简体" w:cs="方正小标宋简体"/>
          <w:bCs/>
          <w:sz w:val="44"/>
          <w:szCs w:val="44"/>
          <w:lang w:eastAsia="zh-CN"/>
        </w:rPr>
        <w:t>市场监督管理局</w:t>
      </w:r>
      <w:r>
        <w:rPr>
          <w:rFonts w:hint="eastAsia" w:ascii="方正小标宋简体" w:hAnsi="方正小标宋简体" w:eastAsia="方正小标宋简体" w:cs="方正小标宋简体"/>
          <w:bCs/>
          <w:sz w:val="44"/>
          <w:szCs w:val="44"/>
        </w:rPr>
        <w:t>配装眼镜产品质量监督抽查实施细则</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
          <w:kern w:val="0"/>
          <w:sz w:val="44"/>
          <w:szCs w:val="44"/>
        </w:rPr>
        <w:t>2023年</w:t>
      </w:r>
      <w:r>
        <w:rPr>
          <w:rFonts w:hint="eastAsia" w:ascii="方正小标宋简体" w:hAnsi="方正小标宋简体" w:eastAsia="方正小标宋简体" w:cs="方正小标宋简体"/>
          <w:bCs/>
          <w:sz w:val="44"/>
          <w:szCs w:val="44"/>
          <w:lang w:eastAsia="zh-CN"/>
        </w:rPr>
        <w:t>）</w:t>
      </w:r>
    </w:p>
    <w:p>
      <w:pPr>
        <w:widowControl/>
        <w:wordWrap/>
        <w:adjustRightInd/>
        <w:snapToGrid/>
        <w:spacing w:line="52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sz w:val="44"/>
          <w:szCs w:val="44"/>
        </w:rPr>
      </w:pPr>
    </w:p>
    <w:p>
      <w:pPr>
        <w:wordWrap/>
        <w:spacing w:line="520" w:lineRule="exact"/>
        <w:ind w:firstLine="56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一、抽样方法</w:t>
      </w:r>
    </w:p>
    <w:p>
      <w:pPr>
        <w:widowControl/>
        <w:wordWrap/>
        <w:spacing w:line="520" w:lineRule="exact"/>
        <w:ind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widowControl/>
        <w:wordWrap/>
        <w:spacing w:line="520" w:lineRule="exact"/>
        <w:ind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随机数一般可使用随机数表等方法产生。</w:t>
      </w:r>
    </w:p>
    <w:p>
      <w:pPr>
        <w:wordWrap/>
        <w:adjustRightInd w:val="0"/>
        <w:snapToGrid w:val="0"/>
        <w:spacing w:line="52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抽查数量：每款产品抽取1组样本用于检验（无备样）。具体抽样数量和方法如下：</w:t>
      </w:r>
    </w:p>
    <w:tbl>
      <w:tblPr>
        <w:tblStyle w:val="11"/>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3353"/>
        <w:gridCol w:w="3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3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w:t>
            </w:r>
            <w:r>
              <w:rPr>
                <w:rFonts w:hint="eastAsia" w:ascii="仿宋_GB2312" w:hAnsi="仿宋_GB2312" w:eastAsia="仿宋_GB2312" w:cs="仿宋_GB2312"/>
                <w:b/>
                <w:sz w:val="24"/>
                <w:szCs w:val="24"/>
                <w:lang w:eastAsia="zh-CN"/>
              </w:rPr>
              <w:t>号</w:t>
            </w:r>
          </w:p>
        </w:tc>
        <w:tc>
          <w:tcPr>
            <w:tcW w:w="335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产品名称</w:t>
            </w:r>
          </w:p>
        </w:tc>
        <w:tc>
          <w:tcPr>
            <w:tcW w:w="369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第1组数量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113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35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配装眼镜</w:t>
            </w:r>
          </w:p>
        </w:tc>
        <w:tc>
          <w:tcPr>
            <w:tcW w:w="369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1副</w:t>
            </w:r>
          </w:p>
        </w:tc>
      </w:tr>
    </w:tbl>
    <w:p>
      <w:pPr>
        <w:widowControl/>
        <w:wordWrap/>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库存基数少于抽查数量时，可由抽样人员现场开具配装眼镜处方单（含顶焦度、轴位、瞳距等），交抽查市场主体现场制作。为确保样品的完好有效，每一副配装眼镜应附有包含加工制作参数的单据、出厂标识标签等，并有独立完整的包装。在运输和寄送过程中应适当防护，防止样品变形或破损。</w:t>
      </w:r>
    </w:p>
    <w:p>
      <w:pPr>
        <w:wordWrap/>
        <w:spacing w:line="520" w:lineRule="exact"/>
        <w:ind w:firstLine="56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二、主要检验项目及检验项目属性划分</w:t>
      </w:r>
    </w:p>
    <w:tbl>
      <w:tblPr>
        <w:tblStyle w:val="11"/>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440"/>
        <w:gridCol w:w="2390"/>
        <w:gridCol w:w="798"/>
        <w:gridCol w:w="709"/>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检验项目</w:t>
            </w:r>
          </w:p>
        </w:tc>
        <w:tc>
          <w:tcPr>
            <w:tcW w:w="23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检验方法</w:t>
            </w:r>
          </w:p>
        </w:tc>
        <w:tc>
          <w:tcPr>
            <w:tcW w:w="79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强制性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非强制性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重要项</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较重要项</w:t>
            </w:r>
          </w:p>
        </w:tc>
        <w:tc>
          <w:tcPr>
            <w:tcW w:w="709"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40"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镜片表面质量和内在疵病</w:t>
            </w:r>
          </w:p>
        </w:tc>
        <w:tc>
          <w:tcPr>
            <w:tcW w:w="239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10810.1-2005 6.6</w:t>
            </w:r>
          </w:p>
        </w:tc>
        <w:tc>
          <w:tcPr>
            <w:tcW w:w="79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40"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镜架外观质量</w:t>
            </w:r>
          </w:p>
        </w:tc>
        <w:tc>
          <w:tcPr>
            <w:tcW w:w="239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GB/T 14214-2003 5.4</w:t>
            </w:r>
          </w:p>
        </w:tc>
        <w:tc>
          <w:tcPr>
            <w:tcW w:w="79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40"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球镜顶焦度允差（D）</w:t>
            </w:r>
          </w:p>
        </w:tc>
        <w:tc>
          <w:tcPr>
            <w:tcW w:w="239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10810.1-2005 6.1</w:t>
            </w:r>
          </w:p>
        </w:tc>
        <w:tc>
          <w:tcPr>
            <w:tcW w:w="79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440"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柱镜顶焦度允差（D）</w:t>
            </w:r>
          </w:p>
        </w:tc>
        <w:tc>
          <w:tcPr>
            <w:tcW w:w="239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10810.1-2005 6.1</w:t>
            </w:r>
          </w:p>
        </w:tc>
        <w:tc>
          <w:tcPr>
            <w:tcW w:w="79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440"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柱镜轴位允差（°）</w:t>
            </w:r>
          </w:p>
        </w:tc>
        <w:tc>
          <w:tcPr>
            <w:tcW w:w="239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6.3</w:t>
            </w:r>
          </w:p>
        </w:tc>
        <w:tc>
          <w:tcPr>
            <w:tcW w:w="79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440"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光学中心单侧水平允差（mm）</w:t>
            </w:r>
          </w:p>
        </w:tc>
        <w:tc>
          <w:tcPr>
            <w:tcW w:w="239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6.4</w:t>
            </w:r>
          </w:p>
        </w:tc>
        <w:tc>
          <w:tcPr>
            <w:tcW w:w="79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440"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光学中心垂直互差（mm）</w:t>
            </w:r>
          </w:p>
        </w:tc>
        <w:tc>
          <w:tcPr>
            <w:tcW w:w="239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6.4</w:t>
            </w:r>
          </w:p>
        </w:tc>
        <w:tc>
          <w:tcPr>
            <w:tcW w:w="79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440"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光学中心水平距离偏差（mm）</w:t>
            </w:r>
          </w:p>
        </w:tc>
        <w:tc>
          <w:tcPr>
            <w:tcW w:w="239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6.4</w:t>
            </w:r>
          </w:p>
        </w:tc>
        <w:tc>
          <w:tcPr>
            <w:tcW w:w="79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440"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可见光谱区透射比（%）</w:t>
            </w:r>
          </w:p>
        </w:tc>
        <w:tc>
          <w:tcPr>
            <w:tcW w:w="239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10810.3-2006 6.4</w:t>
            </w:r>
          </w:p>
        </w:tc>
        <w:tc>
          <w:tcPr>
            <w:tcW w:w="79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440"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紫外光谱区透射比（%）</w:t>
            </w:r>
          </w:p>
        </w:tc>
        <w:tc>
          <w:tcPr>
            <w:tcW w:w="239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10810.3-2006 6.5</w:t>
            </w:r>
          </w:p>
        </w:tc>
        <w:tc>
          <w:tcPr>
            <w:tcW w:w="79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440"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镜片厚度</w:t>
            </w:r>
          </w:p>
        </w:tc>
        <w:tc>
          <w:tcPr>
            <w:tcW w:w="2390" w:type="dxa"/>
            <w:vAlign w:val="center"/>
          </w:tcPr>
          <w:p>
            <w:pPr>
              <w:widowControl w:val="0"/>
              <w:wordWrap/>
              <w:adjustRightInd w:val="0"/>
              <w:snapToGrid w:val="0"/>
              <w:spacing w:line="400" w:lineRule="exact"/>
              <w:jc w:val="left"/>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10810.1-2005 5.2.2</w:t>
            </w:r>
          </w:p>
        </w:tc>
        <w:tc>
          <w:tcPr>
            <w:tcW w:w="79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440"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镜片色泽</w:t>
            </w:r>
          </w:p>
        </w:tc>
        <w:tc>
          <w:tcPr>
            <w:tcW w:w="239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5.2</w:t>
            </w:r>
          </w:p>
        </w:tc>
        <w:tc>
          <w:tcPr>
            <w:tcW w:w="79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440"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装配质量</w:t>
            </w:r>
          </w:p>
        </w:tc>
        <w:tc>
          <w:tcPr>
            <w:tcW w:w="239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5.8</w:t>
            </w:r>
          </w:p>
        </w:tc>
        <w:tc>
          <w:tcPr>
            <w:tcW w:w="79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2440"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bookmarkStart w:id="0" w:name="_GoBack"/>
            <w:r>
              <w:rPr>
                <w:rFonts w:hint="eastAsia" w:ascii="仿宋_GB2312" w:hAnsi="仿宋_GB2312" w:eastAsia="仿宋_GB2312" w:cs="仿宋_GB2312"/>
                <w:sz w:val="24"/>
                <w:szCs w:val="24"/>
              </w:rPr>
              <w:t>标志</w:t>
            </w:r>
            <w:bookmarkEnd w:id="0"/>
          </w:p>
        </w:tc>
        <w:tc>
          <w:tcPr>
            <w:tcW w:w="2390" w:type="dxa"/>
            <w:vAlign w:val="center"/>
          </w:tcPr>
          <w:p>
            <w:pPr>
              <w:widowControl w:val="0"/>
              <w:wordWrap/>
              <w:adjustRightInd w:val="0"/>
              <w:snapToGrid w:val="0"/>
              <w:spacing w:line="400" w:lineRule="exact"/>
              <w:jc w:val="left"/>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7.1b)</w:t>
            </w:r>
          </w:p>
        </w:tc>
        <w:tc>
          <w:tcPr>
            <w:tcW w:w="798"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33" w:type="dxa"/>
            <w:gridSpan w:val="8"/>
            <w:vAlign w:val="center"/>
          </w:tcPr>
          <w:p>
            <w:pPr>
              <w:widowControl w:val="0"/>
              <w:tabs>
                <w:tab w:val="left" w:pos="360"/>
              </w:tabs>
              <w:wordWrap/>
              <w:snapToGrid w:val="0"/>
              <w:spacing w:line="400" w:lineRule="exact"/>
              <w:ind w:right="-28"/>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注：</w:t>
            </w:r>
            <w:r>
              <w:rPr>
                <w:rFonts w:hint="eastAsia" w:ascii="仿宋_GB2312" w:hAnsi="仿宋_GB2312" w:cs="仿宋_GB2312"/>
                <w:kern w:val="0"/>
                <w:sz w:val="24"/>
                <w:szCs w:val="24"/>
                <w:lang w:val="en-US" w:eastAsia="zh-CN"/>
              </w:rPr>
              <w:t>1.</w:t>
            </w:r>
            <w:r>
              <w:rPr>
                <w:rFonts w:hint="eastAsia" w:ascii="仿宋_GB2312" w:hAnsi="仿宋_GB2312" w:eastAsia="仿宋_GB2312" w:cs="仿宋_GB2312"/>
                <w:kern w:val="0"/>
                <w:sz w:val="24"/>
                <w:szCs w:val="24"/>
              </w:rPr>
              <w:t>定配眼镜所用镜片有染色时透射比应符合GB10810.3 5.3要求，使用光致变色镜片时透射比应符合GB 10810.3 5.5要求，当定配眼镜明示可适合作驾驶镜时透射比应符合GB 10810.3 5.4要求。</w:t>
            </w:r>
          </w:p>
          <w:p>
            <w:pPr>
              <w:widowControl w:val="0"/>
              <w:wordWrap/>
              <w:snapToGrid w:val="0"/>
              <w:spacing w:line="400" w:lineRule="exact"/>
              <w:ind w:left="0" w:leftChars="0" w:right="-28" w:firstLine="0" w:firstLineChars="0"/>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    2.</w:t>
            </w:r>
            <w:r>
              <w:rPr>
                <w:rFonts w:hint="eastAsia" w:ascii="仿宋_GB2312" w:hAnsi="仿宋_GB2312" w:eastAsia="仿宋_GB2312" w:cs="仿宋_GB2312"/>
                <w:kern w:val="0"/>
                <w:sz w:val="24"/>
                <w:szCs w:val="24"/>
              </w:rPr>
              <w:t>标志项目包括定配眼镜的顶焦度、轴位、瞳距等涉及处方、标准中要求有标称值的参数。</w:t>
            </w:r>
          </w:p>
          <w:p>
            <w:pPr>
              <w:widowControl w:val="0"/>
              <w:tabs>
                <w:tab w:val="left" w:pos="0"/>
                <w:tab w:val="left" w:pos="360"/>
              </w:tabs>
              <w:wordWrap/>
              <w:snapToGrid w:val="0"/>
              <w:spacing w:line="400" w:lineRule="exact"/>
              <w:ind w:left="0" w:leftChars="0" w:right="-28" w:firstLine="0" w:firstLineChars="0"/>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    3.</w:t>
            </w:r>
            <w:r>
              <w:rPr>
                <w:rFonts w:hint="eastAsia" w:ascii="仿宋_GB2312" w:hAnsi="仿宋_GB2312" w:eastAsia="仿宋_GB2312" w:cs="仿宋_GB2312"/>
                <w:kern w:val="0"/>
                <w:sz w:val="24"/>
                <w:szCs w:val="24"/>
              </w:rPr>
              <w:t>当处方中包含本表中未列的参数，这些参数也应符合GB13511.1要求。</w:t>
            </w:r>
          </w:p>
          <w:p>
            <w:pPr>
              <w:widowControl w:val="0"/>
              <w:tabs>
                <w:tab w:val="left" w:pos="360"/>
              </w:tabs>
              <w:wordWrap/>
              <w:snapToGrid w:val="0"/>
              <w:spacing w:line="400" w:lineRule="exact"/>
              <w:ind w:left="480" w:right="-28" w:hanging="480" w:hanging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24"/>
                <w:szCs w:val="24"/>
                <w:lang w:val="en-US" w:eastAsia="zh-CN"/>
              </w:rPr>
              <w:t xml:space="preserve">    4.</w:t>
            </w:r>
            <w:r>
              <w:rPr>
                <w:rFonts w:hint="eastAsia" w:ascii="仿宋_GB2312" w:hAnsi="仿宋_GB2312" w:eastAsia="仿宋_GB2312" w:cs="仿宋_GB2312"/>
                <w:kern w:val="0"/>
                <w:sz w:val="24"/>
                <w:szCs w:val="24"/>
              </w:rPr>
              <w:t>老视配装眼镜不检测</w:t>
            </w:r>
            <w:r>
              <w:rPr>
                <w:rFonts w:hint="eastAsia" w:ascii="仿宋_GB2312" w:hAnsi="仿宋_GB2312" w:eastAsia="仿宋_GB2312" w:cs="仿宋_GB2312"/>
                <w:sz w:val="24"/>
                <w:szCs w:val="24"/>
              </w:rPr>
              <w:t>紫外光谱区透射比。</w:t>
            </w:r>
          </w:p>
        </w:tc>
      </w:tr>
    </w:tbl>
    <w:p>
      <w:pPr>
        <w:wordWrap/>
        <w:adjustRightInd w:val="0"/>
        <w:snapToGrid w:val="0"/>
        <w:spacing w:line="520" w:lineRule="exact"/>
        <w:ind w:firstLine="56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注：执行企业标准、团体标准、地方标准的产品，检验项目参照上述内容执行。</w:t>
      </w:r>
    </w:p>
    <w:p>
      <w:pPr>
        <w:wordWrap/>
        <w:adjustRightInd w:val="0"/>
        <w:snapToGrid w:val="0"/>
        <w:spacing w:line="520" w:lineRule="exact"/>
        <w:ind w:firstLine="56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凡是注日期的文件，其随后所有的修改单（不包括勘误的内容）或修订版不适用于本细则。凡是不注日期的文件，其最新版本适用于本细则。</w:t>
      </w:r>
    </w:p>
    <w:p>
      <w:pPr>
        <w:wordWrap/>
        <w:adjustRightInd w:val="0"/>
        <w:snapToGrid w:val="0"/>
        <w:spacing w:line="520" w:lineRule="exact"/>
        <w:ind w:firstLine="56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三、判定规则</w:t>
      </w:r>
    </w:p>
    <w:p>
      <w:pPr>
        <w:wordWrap/>
        <w:adjustRightInd w:val="0"/>
        <w:snapToGrid w:val="0"/>
        <w:spacing w:line="520" w:lineRule="exact"/>
        <w:ind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（一）依据标准</w:t>
      </w:r>
    </w:p>
    <w:p>
      <w:pPr>
        <w:wordWrap/>
        <w:adjustRightInd w:val="0"/>
        <w:snapToGrid w:val="0"/>
        <w:spacing w:line="52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强制性标准。</w:t>
      </w:r>
    </w:p>
    <w:p>
      <w:pPr>
        <w:widowControl/>
        <w:wordWrap/>
        <w:autoSpaceDN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13511.1-2011 《配装眼镜 第1部分：单光和多焦点》</w:t>
      </w:r>
    </w:p>
    <w:p>
      <w:pPr>
        <w:widowControl/>
        <w:wordWrap/>
        <w:autoSpaceDN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10810.1-2005 《眼镜镜片 第1部分：单光和多焦点镜片》</w:t>
      </w:r>
    </w:p>
    <w:p>
      <w:pPr>
        <w:widowControl/>
        <w:wordWrap/>
        <w:autoSpaceDN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10810.3-2006 《眼镜镜片及相关眼镜产品 透射比规范及测量方法》</w:t>
      </w:r>
    </w:p>
    <w:p>
      <w:pPr>
        <w:widowControl/>
        <w:wordWrap/>
        <w:autoSpaceDN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2.推荐性标准。</w:t>
      </w:r>
    </w:p>
    <w:p>
      <w:pPr>
        <w:widowControl/>
        <w:wordWrap/>
        <w:autoSpaceDN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14214-2003 《眼镜架  通用要求和试验方法》</w:t>
      </w:r>
    </w:p>
    <w:p>
      <w:pPr>
        <w:wordWrap/>
        <w:adjustRightInd w:val="0"/>
        <w:snapToGrid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wordWrap/>
        <w:adjustRightInd w:val="0"/>
        <w:snapToGrid w:val="0"/>
        <w:spacing w:line="520" w:lineRule="exact"/>
        <w:ind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（二）判定原则</w:t>
      </w:r>
    </w:p>
    <w:p>
      <w:pPr>
        <w:wordWrap/>
        <w:snapToGrid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经检验，检验项目全部合格，判定为抽取的样本所检项目未检出不合格；检验项目中任一项或一项以上不合格，判定为被抽查产品不合格。</w:t>
      </w:r>
    </w:p>
    <w:p>
      <w:pPr>
        <w:widowControl/>
        <w:wordWrap/>
        <w:autoSpaceDE w:val="0"/>
        <w:autoSpaceDN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当被检样品明示的质量要求优于监督抽查实施细则中依据的标准要求时，应按被检样品明示的质量要求判定；</w:t>
      </w:r>
    </w:p>
    <w:p>
      <w:pPr>
        <w:widowControl/>
        <w:wordWrap/>
        <w:autoSpaceDE w:val="0"/>
        <w:autoSpaceDN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当被检样品明示的质量要求劣于或不包含监督抽查实施细则中依据的强制性标准要求时，应按照强制性标准要求判定；</w:t>
      </w:r>
    </w:p>
    <w:p>
      <w:pPr>
        <w:wordWrap/>
        <w:autoSpaceDE w:val="0"/>
        <w:autoSpaceDN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wordWrap/>
        <w:autoSpaceDE w:val="0"/>
        <w:autoSpaceDN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当被检样品明示的质量要求不包含监督抽查实施细则中依据的推荐性标准要求时，该指标不参与判定，但应在检验报告中作出说明；</w:t>
      </w:r>
    </w:p>
    <w:p>
      <w:pPr>
        <w:wordWrap/>
        <w:autoSpaceDE w:val="0"/>
        <w:autoSpaceDN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当被检样品未能提供有效的企业标准时，按相关国家或行业标准进行判定；</w:t>
      </w:r>
    </w:p>
    <w:p>
      <w:pPr>
        <w:wordWrap/>
        <w:autoSpaceDE w:val="0"/>
        <w:autoSpaceDN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wordWrap/>
        <w:autoSpaceDE w:val="0"/>
        <w:autoSpaceDN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按照产品质量相关法律法规的规定判定。</w:t>
      </w:r>
    </w:p>
    <w:p>
      <w:pPr>
        <w:widowControl/>
        <w:wordWrap/>
        <w:autoSpaceDE w:val="0"/>
        <w:autoSpaceDN w:val="0"/>
        <w:spacing w:line="52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检验中发现因样品失效或者其他原因致使检验无法进行的，检验人员应如实记录，并提供相关证明材料，报送组织监督抽查的市场监管部门。</w:t>
      </w:r>
    </w:p>
    <w:p>
      <w:pPr>
        <w:wordWrap/>
        <w:spacing w:line="520" w:lineRule="exact"/>
        <w:textAlignment w:val="auto"/>
        <w:outlineLvl w:val="9"/>
        <w:rPr>
          <w:rFonts w:hint="eastAsia" w:ascii="仿宋_GB2312" w:hAnsi="仿宋_GB2312" w:eastAsia="仿宋_GB2312" w:cs="仿宋_GB2312"/>
          <w:sz w:val="32"/>
          <w:szCs w:val="32"/>
        </w:rPr>
      </w:pPr>
    </w:p>
    <w:p>
      <w:pPr>
        <w:wordWrap/>
        <w:spacing w:line="520" w:lineRule="exact"/>
        <w:textAlignment w:val="auto"/>
        <w:outlineLvl w:val="9"/>
        <w:rPr>
          <w:rFonts w:hint="eastAsia" w:ascii="仿宋_GB2312" w:hAnsi="仿宋_GB2312" w:eastAsia="仿宋_GB2312" w:cs="仿宋_GB2312"/>
          <w:sz w:val="32"/>
          <w:szCs w:val="32"/>
        </w:rPr>
      </w:pPr>
    </w:p>
    <w:p>
      <w:pPr>
        <w:wordWrap/>
        <w:spacing w:line="520" w:lineRule="exact"/>
        <w:textAlignment w:val="auto"/>
        <w:outlineLvl w:val="9"/>
        <w:rPr>
          <w:rFonts w:hint="eastAsia" w:ascii="仿宋_GB2312" w:hAnsi="仿宋_GB2312" w:eastAsia="仿宋_GB2312" w:cs="仿宋_GB2312"/>
          <w:sz w:val="32"/>
          <w:szCs w:val="32"/>
        </w:rPr>
      </w:pPr>
    </w:p>
    <w:p>
      <w:pPr>
        <w:wordWrap/>
        <w:spacing w:line="520" w:lineRule="exact"/>
        <w:textAlignment w:val="auto"/>
        <w:outlineLvl w:val="9"/>
        <w:rPr>
          <w:rFonts w:hint="eastAsia" w:ascii="仿宋_GB2312" w:hAnsi="仿宋_GB2312" w:eastAsia="仿宋_GB2312" w:cs="仿宋_GB2312"/>
          <w:sz w:val="32"/>
          <w:szCs w:val="32"/>
        </w:rPr>
      </w:pPr>
    </w:p>
    <w:p>
      <w:pPr>
        <w:wordWrap/>
        <w:spacing w:line="520" w:lineRule="exact"/>
        <w:textAlignment w:val="auto"/>
        <w:outlineLvl w:val="9"/>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41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mM5ZWU5MTYyYjc4ODNkNDZkYzNjYTcyYTg1MWE2MzQifQ=="/>
  </w:docVars>
  <w:rsids>
    <w:rsidRoot w:val="001267A7"/>
    <w:rsid w:val="00002035"/>
    <w:rsid w:val="000165A0"/>
    <w:rsid w:val="00017C22"/>
    <w:rsid w:val="0002035C"/>
    <w:rsid w:val="000240EC"/>
    <w:rsid w:val="00027D94"/>
    <w:rsid w:val="00043A03"/>
    <w:rsid w:val="0005577C"/>
    <w:rsid w:val="0006605C"/>
    <w:rsid w:val="000839C7"/>
    <w:rsid w:val="0008745B"/>
    <w:rsid w:val="00096B35"/>
    <w:rsid w:val="000A6891"/>
    <w:rsid w:val="000D0FEA"/>
    <w:rsid w:val="000D3BFC"/>
    <w:rsid w:val="000D45CF"/>
    <w:rsid w:val="00116512"/>
    <w:rsid w:val="00116A77"/>
    <w:rsid w:val="001267A7"/>
    <w:rsid w:val="001333D6"/>
    <w:rsid w:val="001374AB"/>
    <w:rsid w:val="001447E7"/>
    <w:rsid w:val="0015133F"/>
    <w:rsid w:val="00154C8A"/>
    <w:rsid w:val="00163597"/>
    <w:rsid w:val="001651B5"/>
    <w:rsid w:val="00167615"/>
    <w:rsid w:val="0017041C"/>
    <w:rsid w:val="00174056"/>
    <w:rsid w:val="001A7ED4"/>
    <w:rsid w:val="001C4599"/>
    <w:rsid w:val="001C4FA4"/>
    <w:rsid w:val="001C5448"/>
    <w:rsid w:val="001C6302"/>
    <w:rsid w:val="001D1343"/>
    <w:rsid w:val="001D2FA0"/>
    <w:rsid w:val="001D601A"/>
    <w:rsid w:val="001D7E81"/>
    <w:rsid w:val="001E1736"/>
    <w:rsid w:val="00201B9A"/>
    <w:rsid w:val="00204D79"/>
    <w:rsid w:val="0021523B"/>
    <w:rsid w:val="0022332A"/>
    <w:rsid w:val="00232F77"/>
    <w:rsid w:val="00253413"/>
    <w:rsid w:val="00260FE1"/>
    <w:rsid w:val="00271A4F"/>
    <w:rsid w:val="00277F91"/>
    <w:rsid w:val="00281CCE"/>
    <w:rsid w:val="002834AF"/>
    <w:rsid w:val="002845A9"/>
    <w:rsid w:val="00293627"/>
    <w:rsid w:val="002A113B"/>
    <w:rsid w:val="002C28C0"/>
    <w:rsid w:val="002D2014"/>
    <w:rsid w:val="002F6F30"/>
    <w:rsid w:val="00353EDF"/>
    <w:rsid w:val="00356C57"/>
    <w:rsid w:val="00363A78"/>
    <w:rsid w:val="00376002"/>
    <w:rsid w:val="0039720F"/>
    <w:rsid w:val="003C76A2"/>
    <w:rsid w:val="003D47BD"/>
    <w:rsid w:val="003D7C3E"/>
    <w:rsid w:val="003F7B5B"/>
    <w:rsid w:val="00400331"/>
    <w:rsid w:val="004079B2"/>
    <w:rsid w:val="004126BB"/>
    <w:rsid w:val="0042327E"/>
    <w:rsid w:val="00435CFE"/>
    <w:rsid w:val="00461667"/>
    <w:rsid w:val="004623D9"/>
    <w:rsid w:val="00464EE9"/>
    <w:rsid w:val="00473921"/>
    <w:rsid w:val="00474059"/>
    <w:rsid w:val="0048554B"/>
    <w:rsid w:val="0049411C"/>
    <w:rsid w:val="004A76E8"/>
    <w:rsid w:val="004B1A3B"/>
    <w:rsid w:val="004D3296"/>
    <w:rsid w:val="005058AB"/>
    <w:rsid w:val="00510987"/>
    <w:rsid w:val="0051604D"/>
    <w:rsid w:val="005177C2"/>
    <w:rsid w:val="00521F12"/>
    <w:rsid w:val="00536149"/>
    <w:rsid w:val="00551C24"/>
    <w:rsid w:val="005537D8"/>
    <w:rsid w:val="00562514"/>
    <w:rsid w:val="0056608E"/>
    <w:rsid w:val="00567B95"/>
    <w:rsid w:val="0057154C"/>
    <w:rsid w:val="0057272E"/>
    <w:rsid w:val="00583420"/>
    <w:rsid w:val="00590E50"/>
    <w:rsid w:val="005B58CF"/>
    <w:rsid w:val="005D586E"/>
    <w:rsid w:val="005D6041"/>
    <w:rsid w:val="005F6FD3"/>
    <w:rsid w:val="00601301"/>
    <w:rsid w:val="00614A03"/>
    <w:rsid w:val="006174A0"/>
    <w:rsid w:val="00630799"/>
    <w:rsid w:val="00634598"/>
    <w:rsid w:val="00636171"/>
    <w:rsid w:val="006435A0"/>
    <w:rsid w:val="0064492D"/>
    <w:rsid w:val="00650332"/>
    <w:rsid w:val="00655DBA"/>
    <w:rsid w:val="006560FF"/>
    <w:rsid w:val="00663F56"/>
    <w:rsid w:val="006643FF"/>
    <w:rsid w:val="00667CD2"/>
    <w:rsid w:val="00681450"/>
    <w:rsid w:val="0068243D"/>
    <w:rsid w:val="00685484"/>
    <w:rsid w:val="00695A76"/>
    <w:rsid w:val="006A0164"/>
    <w:rsid w:val="006B55C0"/>
    <w:rsid w:val="006C5FDC"/>
    <w:rsid w:val="006D0264"/>
    <w:rsid w:val="00704DB5"/>
    <w:rsid w:val="007169E7"/>
    <w:rsid w:val="00717564"/>
    <w:rsid w:val="0072739A"/>
    <w:rsid w:val="00730F53"/>
    <w:rsid w:val="0073376B"/>
    <w:rsid w:val="007427F1"/>
    <w:rsid w:val="00743C04"/>
    <w:rsid w:val="0074538A"/>
    <w:rsid w:val="00746B66"/>
    <w:rsid w:val="00747282"/>
    <w:rsid w:val="00777C8B"/>
    <w:rsid w:val="00782384"/>
    <w:rsid w:val="007836AB"/>
    <w:rsid w:val="00783AA1"/>
    <w:rsid w:val="007930BC"/>
    <w:rsid w:val="007938DD"/>
    <w:rsid w:val="007B277F"/>
    <w:rsid w:val="007B2A80"/>
    <w:rsid w:val="007C78FB"/>
    <w:rsid w:val="007D08FC"/>
    <w:rsid w:val="007D3BBD"/>
    <w:rsid w:val="007F415F"/>
    <w:rsid w:val="00802C90"/>
    <w:rsid w:val="00833C3A"/>
    <w:rsid w:val="00834A1D"/>
    <w:rsid w:val="00841605"/>
    <w:rsid w:val="00853B1A"/>
    <w:rsid w:val="00874B29"/>
    <w:rsid w:val="008813DC"/>
    <w:rsid w:val="0088293C"/>
    <w:rsid w:val="0088315C"/>
    <w:rsid w:val="00883771"/>
    <w:rsid w:val="008B1B39"/>
    <w:rsid w:val="008B48F4"/>
    <w:rsid w:val="008B764D"/>
    <w:rsid w:val="008D0297"/>
    <w:rsid w:val="008D0C14"/>
    <w:rsid w:val="008D4EAA"/>
    <w:rsid w:val="00907B39"/>
    <w:rsid w:val="00910DE1"/>
    <w:rsid w:val="0091722A"/>
    <w:rsid w:val="0092059A"/>
    <w:rsid w:val="0092533E"/>
    <w:rsid w:val="009260B9"/>
    <w:rsid w:val="00931843"/>
    <w:rsid w:val="00934075"/>
    <w:rsid w:val="00940BE9"/>
    <w:rsid w:val="00952AD3"/>
    <w:rsid w:val="009536CC"/>
    <w:rsid w:val="009601C2"/>
    <w:rsid w:val="0096116C"/>
    <w:rsid w:val="00967FC6"/>
    <w:rsid w:val="00973264"/>
    <w:rsid w:val="00974426"/>
    <w:rsid w:val="009A17E2"/>
    <w:rsid w:val="009B5297"/>
    <w:rsid w:val="009C1E43"/>
    <w:rsid w:val="009C51C9"/>
    <w:rsid w:val="009D05EF"/>
    <w:rsid w:val="009D21D9"/>
    <w:rsid w:val="009E0572"/>
    <w:rsid w:val="009E5250"/>
    <w:rsid w:val="009F56EC"/>
    <w:rsid w:val="00A13C03"/>
    <w:rsid w:val="00A13E65"/>
    <w:rsid w:val="00A27A3D"/>
    <w:rsid w:val="00A27C5A"/>
    <w:rsid w:val="00A30E8D"/>
    <w:rsid w:val="00A3488C"/>
    <w:rsid w:val="00A4385B"/>
    <w:rsid w:val="00A660C1"/>
    <w:rsid w:val="00A739F4"/>
    <w:rsid w:val="00A80E98"/>
    <w:rsid w:val="00A86D3E"/>
    <w:rsid w:val="00A86F2C"/>
    <w:rsid w:val="00A95ADC"/>
    <w:rsid w:val="00AA2ED7"/>
    <w:rsid w:val="00AD4611"/>
    <w:rsid w:val="00AD5AA6"/>
    <w:rsid w:val="00AD6734"/>
    <w:rsid w:val="00AE607A"/>
    <w:rsid w:val="00B05B31"/>
    <w:rsid w:val="00B17399"/>
    <w:rsid w:val="00B17FBC"/>
    <w:rsid w:val="00B27F5B"/>
    <w:rsid w:val="00B31740"/>
    <w:rsid w:val="00B4482A"/>
    <w:rsid w:val="00B76619"/>
    <w:rsid w:val="00B76A33"/>
    <w:rsid w:val="00B82B54"/>
    <w:rsid w:val="00BA3295"/>
    <w:rsid w:val="00BC60D1"/>
    <w:rsid w:val="00BC735C"/>
    <w:rsid w:val="00BD637A"/>
    <w:rsid w:val="00C04761"/>
    <w:rsid w:val="00C135A5"/>
    <w:rsid w:val="00C137AE"/>
    <w:rsid w:val="00C21643"/>
    <w:rsid w:val="00C22D60"/>
    <w:rsid w:val="00C25B91"/>
    <w:rsid w:val="00C36447"/>
    <w:rsid w:val="00C44036"/>
    <w:rsid w:val="00C54189"/>
    <w:rsid w:val="00C74577"/>
    <w:rsid w:val="00C767D8"/>
    <w:rsid w:val="00C84139"/>
    <w:rsid w:val="00C85232"/>
    <w:rsid w:val="00C85C6A"/>
    <w:rsid w:val="00C866B5"/>
    <w:rsid w:val="00CA1908"/>
    <w:rsid w:val="00CB0D98"/>
    <w:rsid w:val="00CB4AAC"/>
    <w:rsid w:val="00CC7CEC"/>
    <w:rsid w:val="00CD58A9"/>
    <w:rsid w:val="00D03033"/>
    <w:rsid w:val="00D036E8"/>
    <w:rsid w:val="00D055A8"/>
    <w:rsid w:val="00D05A6C"/>
    <w:rsid w:val="00D158D3"/>
    <w:rsid w:val="00D16EB0"/>
    <w:rsid w:val="00D20C44"/>
    <w:rsid w:val="00D22362"/>
    <w:rsid w:val="00D269A7"/>
    <w:rsid w:val="00D36FEE"/>
    <w:rsid w:val="00D6056B"/>
    <w:rsid w:val="00D70263"/>
    <w:rsid w:val="00D87B9F"/>
    <w:rsid w:val="00D9072E"/>
    <w:rsid w:val="00DA4701"/>
    <w:rsid w:val="00DA5450"/>
    <w:rsid w:val="00DA65ED"/>
    <w:rsid w:val="00DA6E38"/>
    <w:rsid w:val="00DB1819"/>
    <w:rsid w:val="00DC3A36"/>
    <w:rsid w:val="00DF22F7"/>
    <w:rsid w:val="00DF28B3"/>
    <w:rsid w:val="00DF3876"/>
    <w:rsid w:val="00DF74E0"/>
    <w:rsid w:val="00E018AF"/>
    <w:rsid w:val="00E01C99"/>
    <w:rsid w:val="00E04761"/>
    <w:rsid w:val="00E05CC9"/>
    <w:rsid w:val="00E1585E"/>
    <w:rsid w:val="00E26237"/>
    <w:rsid w:val="00E33622"/>
    <w:rsid w:val="00E41798"/>
    <w:rsid w:val="00E60D5F"/>
    <w:rsid w:val="00E7022A"/>
    <w:rsid w:val="00EB2EC8"/>
    <w:rsid w:val="00ED20AE"/>
    <w:rsid w:val="00EF7832"/>
    <w:rsid w:val="00F10700"/>
    <w:rsid w:val="00F113A8"/>
    <w:rsid w:val="00F34E6D"/>
    <w:rsid w:val="00F3528B"/>
    <w:rsid w:val="00F36FCE"/>
    <w:rsid w:val="00F36FD4"/>
    <w:rsid w:val="00F60690"/>
    <w:rsid w:val="00F62EA6"/>
    <w:rsid w:val="00F66F14"/>
    <w:rsid w:val="00F730F7"/>
    <w:rsid w:val="00F87DDF"/>
    <w:rsid w:val="00FB21D1"/>
    <w:rsid w:val="00FC2259"/>
    <w:rsid w:val="00FC4095"/>
    <w:rsid w:val="00FC45E5"/>
    <w:rsid w:val="00FC5B6F"/>
    <w:rsid w:val="00FD323F"/>
    <w:rsid w:val="00FD4964"/>
    <w:rsid w:val="00FE32F7"/>
    <w:rsid w:val="00FE5DB8"/>
    <w:rsid w:val="00FF3DF2"/>
    <w:rsid w:val="00FF791F"/>
    <w:rsid w:val="1D3A26DF"/>
    <w:rsid w:val="27E07C4F"/>
    <w:rsid w:val="46435256"/>
    <w:rsid w:val="57470E3C"/>
    <w:rsid w:val="5A4655F6"/>
    <w:rsid w:val="68AB6F0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Emphasis"/>
    <w:basedOn w:val="7"/>
    <w:qFormat/>
    <w:uiPriority w:val="0"/>
    <w:rPr>
      <w:i/>
      <w:iCs/>
    </w:rPr>
  </w:style>
  <w:style w:type="character" w:styleId="10">
    <w:name w:val="Hyperlink"/>
    <w:basedOn w:val="7"/>
    <w:uiPriority w:val="0"/>
    <w:rPr>
      <w:color w:val="0000FF"/>
      <w:u w:val="single"/>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3">
    <w:name w:val="Char"/>
    <w:basedOn w:val="1"/>
    <w:uiPriority w:val="0"/>
    <w:pPr>
      <w:tabs>
        <w:tab w:val="left" w:pos="4665"/>
        <w:tab w:val="left" w:pos="8970"/>
      </w:tabs>
      <w:ind w:firstLine="400"/>
    </w:pPr>
    <w:rPr>
      <w:rFonts w:ascii="Tahoma" w:hAnsi="Tahoma" w:cs="Tahoma"/>
      <w:sz w:val="24"/>
    </w:rPr>
  </w:style>
  <w:style w:type="paragraph" w:customStyle="1" w:styleId="14">
    <w:name w:val="Char Char Char Char"/>
    <w:basedOn w:val="1"/>
    <w:uiPriority w:val="0"/>
    <w:pPr>
      <w:widowControl/>
      <w:spacing w:after="160" w:line="240" w:lineRule="exact"/>
      <w:jc w:val="left"/>
    </w:pPr>
    <w:rPr>
      <w:rFonts w:eastAsia="仿宋_GB2312"/>
      <w:sz w:val="32"/>
      <w:szCs w:val="20"/>
    </w:rPr>
  </w:style>
  <w:style w:type="paragraph" w:customStyle="1" w:styleId="15">
    <w:name w:val="List Paragraph"/>
    <w:basedOn w:val="1"/>
    <w:qFormat/>
    <w:uiPriority w:val="99"/>
    <w:pPr>
      <w:ind w:firstLine="420" w:firstLineChars="200"/>
    </w:pPr>
    <w:rPr>
      <w:rFonts w:eastAsia="仿宋_GB2312"/>
      <w:sz w:val="32"/>
    </w:rPr>
  </w:style>
  <w:style w:type="character" w:customStyle="1" w:styleId="16">
    <w:name w:val="apple-converted-space"/>
    <w:basedOn w:val="7"/>
    <w:uiPriority w:val="0"/>
    <w:rPr/>
  </w:style>
  <w:style w:type="character" w:customStyle="1" w:styleId="17">
    <w:name w:val="页眉 Char"/>
    <w:basedOn w:val="7"/>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5</Pages>
  <Words>1821</Words>
  <Characters>2399</Characters>
  <Lines>19</Lines>
  <Paragraphs>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2023-05-09T02:28:00Z</dcterms:created>
  <dc:creator>MC SYSTEM</dc:creator>
  <cp:lastModifiedBy>杨艳华</cp:lastModifiedBy>
  <cp:lastPrinted>2022-06-01T09:08:00Z</cp:lastPrinted>
  <dcterms:modified xsi:type="dcterms:W3CDTF">2023-07-10T02:05:21Z</dcterms:modified>
  <dc:title>建筑排水用硬聚氯乙烯管材、管件监督抽查细则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6BCE7029E531470CAB8331B13F9ECDA5_12</vt:lpwstr>
  </property>
</Properties>
</file>