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line="520" w:lineRule="exact"/>
        <w:ind w:left="0" w:leftChars="0" w:right="0"/>
        <w:jc w:val="left"/>
        <w:textAlignment w:val="auto"/>
        <w:outlineLvl w:val="9"/>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附件</w:t>
      </w:r>
      <w:r>
        <w:rPr>
          <w:rFonts w:hint="eastAsia" w:ascii="宋体" w:hAnsi="宋体" w:cs="宋体"/>
          <w:b/>
          <w:bCs/>
          <w:color w:val="000000"/>
          <w:sz w:val="21"/>
          <w:szCs w:val="21"/>
          <w:lang w:val="en-US" w:eastAsia="zh-CN"/>
        </w:rPr>
        <w:t xml:space="preserve">21 </w:t>
      </w:r>
    </w:p>
    <w:p>
      <w:pPr>
        <w:widowControl w:val="0"/>
        <w:wordWrap/>
        <w:adjustRightInd/>
        <w:snapToGrid w:val="0"/>
        <w:spacing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清远市市场监督管理局玩具产品质量监督</w:t>
      </w:r>
    </w:p>
    <w:p>
      <w:pPr>
        <w:widowControl w:val="0"/>
        <w:wordWrap/>
        <w:adjustRightInd/>
        <w:snapToGrid w:val="0"/>
        <w:spacing w:line="520" w:lineRule="exact"/>
        <w:ind w:left="0" w:leftChars="0" w:right="0" w:firstLine="0" w:firstLineChars="0"/>
        <w:jc w:val="center"/>
        <w:textAlignment w:val="auto"/>
        <w:outlineLvl w:val="9"/>
        <w:rPr>
          <w:rFonts w:hint="eastAsia" w:ascii="Times New Roman" w:hAnsi="Times New Roman" w:eastAsia="方正小标宋简体"/>
          <w:color w:val="000000"/>
          <w:sz w:val="30"/>
          <w:szCs w:val="30"/>
        </w:rPr>
      </w:pPr>
      <w:r>
        <w:rPr>
          <w:rFonts w:hint="eastAsia" w:ascii="方正小标宋简体" w:hAnsi="方正小标宋简体" w:eastAsia="方正小标宋简体" w:cs="方正小标宋简体"/>
          <w:color w:val="000000"/>
          <w:sz w:val="44"/>
          <w:szCs w:val="44"/>
        </w:rPr>
        <w:t>抽查实施细则</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lang w:val="en-US" w:eastAsia="zh-CN"/>
        </w:rPr>
        <w:t>2023年</w:t>
      </w:r>
      <w:r>
        <w:rPr>
          <w:rFonts w:hint="eastAsia" w:ascii="方正小标宋简体" w:hAnsi="方正小标宋简体" w:eastAsia="方正小标宋简体" w:cs="方正小标宋简体"/>
          <w:color w:val="000000"/>
          <w:sz w:val="44"/>
          <w:szCs w:val="44"/>
          <w:lang w:eastAsia="zh-CN"/>
        </w:rPr>
        <w:t>）</w:t>
      </w:r>
    </w:p>
    <w:p>
      <w:pPr>
        <w:widowControl w:val="0"/>
        <w:wordWrap/>
        <w:adjustRightInd/>
        <w:snapToGrid w:val="0"/>
        <w:spacing w:line="520" w:lineRule="exact"/>
        <w:ind w:left="0" w:leftChars="0" w:right="0"/>
        <w:jc w:val="center"/>
        <w:textAlignment w:val="auto"/>
        <w:outlineLvl w:val="9"/>
        <w:rPr>
          <w:rFonts w:hint="eastAsia" w:ascii="黑体" w:hAnsi="黑体" w:eastAsia="黑体" w:cs="黑体"/>
          <w:b/>
          <w:bCs/>
          <w:sz w:val="32"/>
          <w:szCs w:val="32"/>
        </w:rPr>
      </w:pPr>
    </w:p>
    <w:p>
      <w:pPr>
        <w:widowControl w:val="0"/>
        <w:wordWrap/>
        <w:adjustRightInd/>
        <w:snapToGrid w:val="0"/>
        <w:spacing w:line="520" w:lineRule="exact"/>
        <w:ind w:left="0" w:leftChars="0" w:right="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一、</w:t>
      </w:r>
      <w:r>
        <w:rPr>
          <w:rFonts w:hint="eastAsia" w:ascii="黑体" w:hAnsi="黑体" w:eastAsia="黑体" w:cs="黑体"/>
          <w:sz w:val="32"/>
          <w:szCs w:val="32"/>
        </w:rPr>
        <w:t>抽样方法</w:t>
      </w:r>
    </w:p>
    <w:p>
      <w:pPr>
        <w:widowControl w:val="0"/>
        <w:wordWrap/>
        <w:adjustRightInd/>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在企业的待销产品中随机抽取有产品质量检验合格证明或者以其他形式表明合格的、近期生产的产品。</w:t>
      </w:r>
    </w:p>
    <w:p>
      <w:pPr>
        <w:widowControl w:val="0"/>
        <w:wordWrap/>
        <w:adjustRightInd/>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抽查样品基数应满足抽样数量。</w:t>
      </w:r>
    </w:p>
    <w:p>
      <w:pPr>
        <w:widowControl w:val="0"/>
        <w:wordWrap/>
        <w:adjustRightInd/>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每批次样品抽取3个，2个作为检验样品，1个作为备用样品。</w:t>
      </w:r>
    </w:p>
    <w:p>
      <w:pPr>
        <w:widowControl w:val="0"/>
        <w:wordWrap/>
        <w:adjustRightInd/>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随机数一般可使用随机数表、随机数骰子或扑克牌等方法产生。</w:t>
      </w:r>
    </w:p>
    <w:p>
      <w:pPr>
        <w:widowControl w:val="0"/>
        <w:wordWrap/>
        <w:adjustRightInd/>
        <w:spacing w:line="520" w:lineRule="exact"/>
        <w:ind w:left="0" w:leftChars="0" w:right="0" w:firstLine="640" w:firstLineChars="200"/>
        <w:jc w:val="both"/>
        <w:textAlignment w:val="auto"/>
        <w:outlineLvl w:val="9"/>
        <w:rPr>
          <w:rFonts w:ascii="Times New Roman" w:hAnsi="Times New Roman" w:eastAsia="黑体" w:cs="Times New Roman"/>
          <w:sz w:val="32"/>
          <w:szCs w:val="32"/>
        </w:rPr>
      </w:pPr>
      <w:r>
        <w:rPr>
          <w:rFonts w:hint="eastAsia" w:ascii="Times New Roman" w:hAnsi="Times New Roman" w:eastAsia="黑体" w:cs="Times New Roman"/>
          <w:sz w:val="32"/>
          <w:szCs w:val="32"/>
        </w:rPr>
        <w:t>二、主要检验项目及检验项目属性划分</w:t>
      </w:r>
    </w:p>
    <w:tbl>
      <w:tblPr>
        <w:tblStyle w:val="7"/>
        <w:tblW w:w="8676" w:type="dxa"/>
        <w:jc w:val="center"/>
        <w:tblInd w:w="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757"/>
        <w:gridCol w:w="1986"/>
        <w:gridCol w:w="2483"/>
        <w:gridCol w:w="85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bookmarkStart w:id="0" w:name="_GoBack"/>
            <w:r>
              <w:rPr>
                <w:rFonts w:hint="eastAsia" w:ascii="仿宋_GB2312" w:hAnsi="仿宋_GB2312" w:eastAsia="仿宋_GB2312" w:cs="仿宋_GB2312"/>
                <w:sz w:val="24"/>
                <w:szCs w:val="24"/>
              </w:rPr>
              <w:t>序号</w:t>
            </w:r>
          </w:p>
        </w:tc>
        <w:tc>
          <w:tcPr>
            <w:tcW w:w="1757" w:type="dxa"/>
            <w:vMerge w:val="restart"/>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检验项目</w:t>
            </w:r>
          </w:p>
        </w:tc>
        <w:tc>
          <w:tcPr>
            <w:tcW w:w="1986" w:type="dxa"/>
            <w:vMerge w:val="restart"/>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检验</w:t>
            </w:r>
            <w:r>
              <w:rPr>
                <w:rFonts w:hint="eastAsia" w:ascii="仿宋_GB2312" w:hAnsi="仿宋_GB2312" w:eastAsia="仿宋_GB2312" w:cs="仿宋_GB2312"/>
                <w:sz w:val="24"/>
                <w:szCs w:val="24"/>
              </w:rPr>
              <w:t>依据</w:t>
            </w:r>
          </w:p>
        </w:tc>
        <w:tc>
          <w:tcPr>
            <w:tcW w:w="2483" w:type="dxa"/>
            <w:vMerge w:val="restart"/>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检验</w:t>
            </w:r>
            <w:r>
              <w:rPr>
                <w:rFonts w:hint="eastAsia" w:ascii="仿宋_GB2312" w:hAnsi="仿宋_GB2312" w:eastAsia="仿宋_GB2312" w:cs="仿宋_GB2312"/>
                <w:sz w:val="24"/>
                <w:szCs w:val="24"/>
              </w:rPr>
              <w:t>方法</w:t>
            </w:r>
          </w:p>
        </w:tc>
        <w:tc>
          <w:tcPr>
            <w:tcW w:w="1693" w:type="dxa"/>
            <w:gridSpan w:val="2"/>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sz w:val="24"/>
                <w:szCs w:val="24"/>
              </w:rPr>
            </w:pPr>
          </w:p>
        </w:tc>
        <w:tc>
          <w:tcPr>
            <w:tcW w:w="1757"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sz w:val="24"/>
                <w:szCs w:val="24"/>
              </w:rPr>
            </w:pPr>
          </w:p>
        </w:tc>
        <w:tc>
          <w:tcPr>
            <w:tcW w:w="1986"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sz w:val="24"/>
                <w:szCs w:val="24"/>
              </w:rPr>
            </w:pPr>
          </w:p>
        </w:tc>
        <w:tc>
          <w:tcPr>
            <w:tcW w:w="2483"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A类</w:t>
            </w:r>
            <w:r>
              <w:rPr>
                <w:rFonts w:hint="eastAsia" w:ascii="仿宋_GB2312" w:hAnsi="仿宋_GB2312" w:eastAsia="仿宋_GB2312" w:cs="仿宋_GB2312"/>
                <w:bCs/>
                <w:sz w:val="24"/>
                <w:szCs w:val="24"/>
                <w:vertAlign w:val="superscript"/>
              </w:rPr>
              <w:t>a</w:t>
            </w:r>
          </w:p>
        </w:tc>
        <w:tc>
          <w:tcPr>
            <w:tcW w:w="843" w:type="dxa"/>
            <w:tcBorders>
              <w:top w:val="single" w:color="auto" w:sz="4" w:space="0"/>
              <w:left w:val="single" w:color="auto" w:sz="4" w:space="0"/>
              <w:bottom w:val="single" w:color="auto" w:sz="4" w:space="0"/>
              <w:right w:val="single" w:color="auto" w:sz="4" w:space="0"/>
            </w:tcBorders>
            <w:vAlign w:val="center"/>
          </w:tcPr>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B类</w:t>
            </w:r>
            <w:r>
              <w:rPr>
                <w:rFonts w:hint="eastAsia" w:ascii="仿宋_GB2312" w:hAnsi="仿宋_GB2312" w:eastAsia="仿宋_GB2312" w:cs="仿宋_GB2312"/>
                <w:bCs/>
                <w:sz w:val="24"/>
                <w:szCs w:val="24"/>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676" w:type="dxa"/>
            <w:gridSpan w:val="6"/>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一、机械与物理性能正常使用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材料</w:t>
            </w:r>
          </w:p>
        </w:tc>
        <w:tc>
          <w:tcPr>
            <w:tcW w:w="1986" w:type="dxa"/>
            <w:tcBorders>
              <w:top w:val="single" w:color="auto" w:sz="4" w:space="0"/>
              <w:left w:val="single" w:color="auto" w:sz="4" w:space="0"/>
              <w:bottom w:val="single" w:color="auto" w:sz="4" w:space="0"/>
              <w:right w:val="single" w:color="auto" w:sz="4" w:space="0"/>
            </w:tcBorders>
            <w:vAlign w:val="bottom"/>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4.3</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4.3</w:t>
            </w:r>
          </w:p>
        </w:tc>
        <w:tc>
          <w:tcPr>
            <w:tcW w:w="850" w:type="dxa"/>
            <w:tcBorders>
              <w:top w:val="single" w:color="auto" w:sz="4" w:space="0"/>
              <w:left w:val="single" w:color="auto" w:sz="4" w:space="0"/>
              <w:bottom w:val="single" w:color="auto" w:sz="4" w:space="0"/>
              <w:right w:val="single" w:color="auto" w:sz="4" w:space="0"/>
            </w:tcBorders>
            <w:vAlign w:val="bottom"/>
          </w:tcPr>
          <w:p>
            <w:pPr>
              <w:pStyle w:val="3"/>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小零件</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4.4</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挤压玩具、摇铃及类似玩具</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4.5.1</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5.3</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小球</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4.5.2</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5.4</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毛球</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4.5.3</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5.5</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学前玩偶</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4.5.4</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5.6</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玩具奶嘴</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4.5.5</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4.5.5</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气球</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4.5.6</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4.5.6 、5.10</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9</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弹珠</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4.5.7</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4.5.7</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半球形玩具</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4.5.8</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4.5.8及第1号修改单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11</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可触及的金属或玻璃边缘</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4.6.1</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5.8及第1号修改单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12</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功能性锐利边缘</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4.6.2</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4.6.2及第1号修改单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13</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kern w:val="0"/>
                <w:sz w:val="24"/>
                <w:szCs w:val="24"/>
              </w:rPr>
              <w:t>金属玩具边缘</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4.6.3</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5.8及第1号修改单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14</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模塑玩具边缘</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4.6.4</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4.6.4及第1号修改单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外露螺栓或螺纹杆的边缘</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4.6.5</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5.8、4.6.5及第1号修改单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16</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可触及的锐利尖端</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4.7.1</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5.9及第1号修改单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17</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功能性锐利尖端</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4.7.2</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4.7.2及第1号修改单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18</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木制玩具</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4.7.3</w:t>
            </w:r>
          </w:p>
        </w:tc>
        <w:tc>
          <w:tcPr>
            <w:tcW w:w="2483" w:type="dxa"/>
            <w:tcBorders>
              <w:top w:val="single" w:color="auto" w:sz="4" w:space="0"/>
              <w:left w:val="single" w:color="auto" w:sz="4" w:space="0"/>
              <w:bottom w:val="single" w:color="auto" w:sz="4" w:space="0"/>
              <w:right w:val="single" w:color="auto" w:sz="4" w:space="0"/>
            </w:tcBorders>
            <w:vAlign w:val="center"/>
          </w:tcPr>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4.7.3及第1号修改单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19</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突出物</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4.8.1</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4.8.1</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用于包装或玩具中的塑料袋或塑料薄膜</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4.10</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5.10</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21</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18个月以下儿童使用的玩具上的绳索和弹性绳</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4.11.1</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5.11.1、4.11.1</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22</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18个月以下儿童使用的玩具上的自回缩绳</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4.11.2</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5.11.2</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23</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36个月以下儿童使用的拖拉玩具上的绳索或弹性绳</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4.11.3</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4.11.3</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玩具袋上的绳索</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4.11.4</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4.11.4</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25</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铰链间隙</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4.12.3</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4.12.3</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26</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刚性材料上的圆孔</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4.13.1</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4.13.1及第1号修改单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27</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活动部件间的间隙</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4.13.2</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4.13.2及第1号修改单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28</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其他驱动机构</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4.13.4</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4.13.4及第1号修改单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29</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发条钥匙</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4.13.5</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4.13.5及第1号修改单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弹簧</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4.14</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4.14及第1号修改单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31</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封闭头部的玩具</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4.16.3</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4.16.3</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32</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仿制防护玩具</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4.17</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5.14</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33</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弹射玩具一般要求</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4.18.1</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4.18.1及第1号修改单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34</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蓄能弹射玩具</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4.18.2</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5.15、4.18.2、5.2</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35</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非蓄能弹射玩具</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4.18.3</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5.15、4.18.3</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36</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水上玩具</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4.19</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4.19</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37</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液体填充玩具</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4.24</w:t>
            </w:r>
          </w:p>
        </w:tc>
        <w:tc>
          <w:tcPr>
            <w:tcW w:w="248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第5章相关条款、5.19</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38</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口动玩具</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4.25</w:t>
            </w:r>
          </w:p>
        </w:tc>
        <w:tc>
          <w:tcPr>
            <w:tcW w:w="248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5.2、5.24.5、</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5.24.6.1、5.20</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39</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声响要求</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4.28</w:t>
            </w:r>
          </w:p>
        </w:tc>
        <w:tc>
          <w:tcPr>
            <w:tcW w:w="248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4.28、5.25</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40</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磁体和磁性部件</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4.29</w:t>
            </w:r>
          </w:p>
        </w:tc>
        <w:tc>
          <w:tcPr>
            <w:tcW w:w="248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4.29</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676" w:type="dxa"/>
            <w:gridSpan w:val="6"/>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二、机械与物理性能可预见的合理滥用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小零件</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4.2、</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4.4.1、4.4.2</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5.2、5.24.2、</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5.24.5、5.24.6.1、5.24.7</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边缘</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4.6</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5.8、5.24.2、5.24.5、</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5.24.6.1、5.24.7</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尖端</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4.7</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5.9、5.24.2、</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5.24.5、5.24.6.1、5.24.7</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小球</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4.5.2</w:t>
            </w:r>
          </w:p>
        </w:tc>
        <w:tc>
          <w:tcPr>
            <w:tcW w:w="248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5.4、5.24.2、5.24.5、</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5.24.6.1、5.24.7</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毛球</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4.5.3</w:t>
            </w:r>
          </w:p>
        </w:tc>
        <w:tc>
          <w:tcPr>
            <w:tcW w:w="248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5.24.6.3、5.5</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弹珠</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4.5.7</w:t>
            </w:r>
          </w:p>
        </w:tc>
        <w:tc>
          <w:tcPr>
            <w:tcW w:w="248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5.24.2、5.24.5、</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5.24.6.1、5.24.7</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外露螺栓或螺纹杆的边缘</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4.6.5</w:t>
            </w:r>
          </w:p>
        </w:tc>
        <w:tc>
          <w:tcPr>
            <w:tcW w:w="248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5.8、5.24.2、5.24.5、</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5.24.6.1、5.24.7</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left"/>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突出物</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4.8.1</w:t>
            </w:r>
          </w:p>
        </w:tc>
        <w:tc>
          <w:tcPr>
            <w:tcW w:w="248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5.24.6.4</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9</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金属丝和杆件</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4.9</w:t>
            </w:r>
          </w:p>
        </w:tc>
        <w:tc>
          <w:tcPr>
            <w:tcW w:w="248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5.24.8、5.24.6.4、5.8、</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A5.9</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刚性材料上的圆孔</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4.13.1</w:t>
            </w:r>
          </w:p>
        </w:tc>
        <w:tc>
          <w:tcPr>
            <w:tcW w:w="248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5.24.2、5.24.5、</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5.24.6.1、5.24.7、</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A.4.13.1</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11</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活动部件间的间隙</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4.13.2</w:t>
            </w:r>
          </w:p>
        </w:tc>
        <w:tc>
          <w:tcPr>
            <w:tcW w:w="2483" w:type="dxa"/>
            <w:tcBorders>
              <w:top w:val="single" w:color="auto" w:sz="4" w:space="0"/>
              <w:left w:val="single" w:color="auto" w:sz="4" w:space="0"/>
              <w:bottom w:val="single" w:color="auto" w:sz="4" w:space="0"/>
              <w:right w:val="single" w:color="auto" w:sz="4" w:space="0"/>
            </w:tcBorders>
            <w:vAlign w:val="center"/>
          </w:tcPr>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5.24.2、5.24.5、</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5.24.6.1、5.24.7、4.13.2</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12</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驱动机构</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4.13.4</w:t>
            </w:r>
          </w:p>
        </w:tc>
        <w:tc>
          <w:tcPr>
            <w:tcW w:w="2483" w:type="dxa"/>
            <w:tcBorders>
              <w:top w:val="single" w:color="auto" w:sz="4" w:space="0"/>
              <w:left w:val="single" w:color="auto" w:sz="4" w:space="0"/>
              <w:bottom w:val="single" w:color="auto" w:sz="4" w:space="0"/>
              <w:right w:val="single" w:color="auto" w:sz="4" w:space="0"/>
            </w:tcBorders>
            <w:vAlign w:val="center"/>
          </w:tcPr>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5.24.2、5.24.5、</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5.24.6.1、5.24.7、5.7</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13</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发条钥匙</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4.13.5</w:t>
            </w:r>
          </w:p>
        </w:tc>
        <w:tc>
          <w:tcPr>
            <w:tcW w:w="2483" w:type="dxa"/>
            <w:tcBorders>
              <w:top w:val="single" w:color="auto" w:sz="4" w:space="0"/>
              <w:left w:val="single" w:color="auto" w:sz="4" w:space="0"/>
              <w:bottom w:val="single" w:color="auto" w:sz="4" w:space="0"/>
              <w:right w:val="single" w:color="auto" w:sz="4" w:space="0"/>
            </w:tcBorders>
            <w:vAlign w:val="center"/>
          </w:tcPr>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5.24.2、5.24.5、</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5.24.6.1、5.24.7、4.13.5</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14</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蓄能弹射玩具</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4.18.2</w:t>
            </w:r>
          </w:p>
        </w:tc>
        <w:tc>
          <w:tcPr>
            <w:tcW w:w="2483" w:type="dxa"/>
            <w:tcBorders>
              <w:top w:val="single" w:color="auto" w:sz="4" w:space="0"/>
              <w:left w:val="single" w:color="auto" w:sz="4" w:space="0"/>
              <w:bottom w:val="single" w:color="auto" w:sz="4" w:space="0"/>
              <w:right w:val="single" w:color="auto" w:sz="4" w:space="0"/>
            </w:tcBorders>
            <w:vAlign w:val="center"/>
          </w:tcPr>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5.24.5、5.24.6.4</w:t>
            </w:r>
          </w:p>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及第1号修改单</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非蓄能弹射玩具</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4.18.3</w:t>
            </w:r>
          </w:p>
        </w:tc>
        <w:tc>
          <w:tcPr>
            <w:tcW w:w="2483" w:type="dxa"/>
            <w:tcBorders>
              <w:top w:val="single" w:color="auto" w:sz="4" w:space="0"/>
              <w:left w:val="single" w:color="auto" w:sz="4" w:space="0"/>
              <w:bottom w:val="single" w:color="auto" w:sz="4" w:space="0"/>
              <w:right w:val="single" w:color="auto" w:sz="4" w:space="0"/>
            </w:tcBorders>
            <w:vAlign w:val="center"/>
          </w:tcPr>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5.24.5、5.24.6.4</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16</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口动玩具</w:t>
            </w:r>
          </w:p>
        </w:tc>
        <w:tc>
          <w:tcPr>
            <w:tcW w:w="1986"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4.25</w:t>
            </w:r>
          </w:p>
        </w:tc>
        <w:tc>
          <w:tcPr>
            <w:tcW w:w="2483" w:type="dxa"/>
            <w:tcBorders>
              <w:top w:val="single" w:color="auto" w:sz="4" w:space="0"/>
              <w:left w:val="single" w:color="auto" w:sz="4" w:space="0"/>
              <w:bottom w:val="single" w:color="auto" w:sz="4" w:space="0"/>
              <w:right w:val="single" w:color="auto" w:sz="4" w:space="0"/>
            </w:tcBorders>
            <w:vAlign w:val="center"/>
          </w:tcPr>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6675.2-2014</w:t>
            </w:r>
          </w:p>
          <w:p>
            <w:pPr>
              <w:pStyle w:val="8"/>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5.2、5.20、5.24.5、</w:t>
            </w:r>
          </w:p>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5.24.6.1</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676" w:type="dxa"/>
            <w:gridSpan w:val="6"/>
            <w:tcBorders>
              <w:top w:val="single" w:color="auto" w:sz="4" w:space="0"/>
              <w:left w:val="single" w:color="auto" w:sz="4" w:space="0"/>
              <w:bottom w:val="single" w:color="auto" w:sz="4" w:space="0"/>
              <w:right w:val="single" w:color="auto" w:sz="4" w:space="0"/>
            </w:tcBorders>
            <w:vAlign w:val="center"/>
          </w:tcPr>
          <w:p>
            <w:pPr>
              <w:pStyle w:val="4"/>
              <w:wordWrap/>
              <w:adjustRightInd/>
              <w:snapToGrid/>
              <w:spacing w:line="400" w:lineRule="atLeast"/>
              <w:ind w:left="0" w:leftChars="0" w:right="0" w:firstLine="0" w:firstLineChars="0"/>
              <w:jc w:val="both"/>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三、易燃性能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一般要求</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6675.3-2014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6675.3-2014</w:t>
            </w:r>
          </w:p>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5.1</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头戴玩具</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6675.3-2014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4.2</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6675.3-2014</w:t>
            </w:r>
          </w:p>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5.2、5.3、5.4</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化妆服饰</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6675.3-2014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4.3</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6675.3-2014</w:t>
            </w:r>
          </w:p>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5.4</w:t>
            </w:r>
          </w:p>
        </w:tc>
        <w:tc>
          <w:tcPr>
            <w:tcW w:w="850"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具有毛绒或纺织表面的软体填充玩具</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6675.3-2014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4.5</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 6675.3-2014</w:t>
            </w:r>
          </w:p>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5.5、5.6</w:t>
            </w:r>
          </w:p>
        </w:tc>
        <w:tc>
          <w:tcPr>
            <w:tcW w:w="850" w:type="dxa"/>
            <w:tcBorders>
              <w:top w:val="single" w:color="auto" w:sz="4" w:space="0"/>
              <w:left w:val="single" w:color="auto" w:sz="4" w:space="0"/>
              <w:bottom w:val="single" w:color="auto" w:sz="4" w:space="0"/>
              <w:right w:val="single" w:color="auto" w:sz="4" w:space="0"/>
            </w:tcBorders>
            <w:vAlign w:val="center"/>
          </w:tcPr>
          <w:p>
            <w:pPr>
              <w:pStyle w:val="4"/>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c>
          <w:tcPr>
            <w:tcW w:w="843"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676" w:type="dxa"/>
            <w:gridSpan w:val="6"/>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四、特定元素的迁移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最大限量要求</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GB 6675.4-2014 </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4.1</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GB 6675.4-2014 </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676" w:type="dxa"/>
            <w:gridSpan w:val="6"/>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五、增塑剂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757" w:type="dxa"/>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DEHP、DBP、 DIDP、DINP、BBP、DNOP</w:t>
            </w:r>
          </w:p>
        </w:tc>
        <w:tc>
          <w:tcPr>
            <w:tcW w:w="1986"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 6675.1-2014</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5.3.7</w:t>
            </w:r>
          </w:p>
        </w:tc>
        <w:tc>
          <w:tcPr>
            <w:tcW w:w="248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GB/T 22048-2015</w:t>
            </w:r>
          </w:p>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或GB/T 22048-2022</w:t>
            </w:r>
          </w:p>
        </w:tc>
        <w:tc>
          <w:tcPr>
            <w:tcW w:w="850"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843" w:type="dxa"/>
            <w:tcBorders>
              <w:top w:val="single" w:color="auto" w:sz="4" w:space="0"/>
              <w:left w:val="single" w:color="auto" w:sz="4" w:space="0"/>
              <w:bottom w:val="single" w:color="auto" w:sz="4" w:space="0"/>
              <w:right w:val="single" w:color="auto" w:sz="4" w:space="0"/>
            </w:tcBorders>
            <w:vAlign w:val="center"/>
          </w:tcPr>
          <w:p>
            <w:pPr>
              <w:pStyle w:val="3"/>
              <w:wordWrap/>
              <w:adjustRightInd/>
              <w:snapToGrid/>
              <w:spacing w:line="400" w:lineRule="atLeast"/>
              <w:ind w:left="0" w:leftChars="0" w:right="0" w:firstLine="0" w:firstLineChars="0"/>
              <w:jc w:val="center"/>
              <w:textAlignment w:val="auto"/>
              <w:outlineLvl w:val="9"/>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676" w:type="dxa"/>
            <w:gridSpan w:val="6"/>
            <w:tcBorders>
              <w:top w:val="single" w:color="auto" w:sz="4" w:space="0"/>
              <w:left w:val="single" w:color="auto" w:sz="4" w:space="0"/>
              <w:bottom w:val="single" w:color="auto" w:sz="4" w:space="0"/>
              <w:right w:val="single" w:color="auto" w:sz="4" w:space="0"/>
            </w:tcBorders>
            <w:vAlign w:val="center"/>
          </w:tcPr>
          <w:p>
            <w:pPr>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a极重要质量项目。</w:t>
            </w:r>
          </w:p>
          <w:p>
            <w:pPr>
              <w:pStyle w:val="3"/>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b重要质量项目。</w:t>
            </w:r>
          </w:p>
          <w:p>
            <w:pPr>
              <w:pStyle w:val="3"/>
              <w:wordWrap/>
              <w:adjustRightInd/>
              <w:snapToGrid/>
              <w:spacing w:line="400" w:lineRule="atLeast"/>
              <w:ind w:left="0" w:leftChars="0" w:right="0" w:firstLine="0" w:firstLineChars="0"/>
              <w:textAlignment w:val="auto"/>
              <w:outlineLvl w:val="9"/>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适用范围内的玩具，对上列检验项目逐一进行检测时，遇不适用项目不进行判定，但检验报告应标明不适用项。</w:t>
            </w:r>
          </w:p>
        </w:tc>
      </w:tr>
      <w:bookmarkEnd w:id="0"/>
    </w:tbl>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凡是注日期的文件，其随后所有的修改单（不包括勘误的内容）或修订版不适用于本细则。凡是不注日期的文件，其最新版本适用于本细则。</w:t>
      </w:r>
    </w:p>
    <w:p>
      <w:pPr>
        <w:widowControl w:val="0"/>
        <w:wordWrap/>
        <w:adjustRightInd w:val="0"/>
        <w:snapToGrid w:val="0"/>
        <w:spacing w:line="520" w:lineRule="exact"/>
        <w:ind w:left="0" w:leftChars="0" w:right="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三、</w:t>
      </w:r>
      <w:r>
        <w:rPr>
          <w:rFonts w:hint="eastAsia" w:ascii="黑体" w:hAnsi="黑体" w:eastAsia="黑体" w:cs="黑体"/>
          <w:sz w:val="32"/>
          <w:szCs w:val="32"/>
        </w:rPr>
        <w:t>判定规则</w:t>
      </w:r>
    </w:p>
    <w:p>
      <w:pPr>
        <w:widowControl w:val="0"/>
        <w:wordWrap/>
        <w:adjustRightInd w:val="0"/>
        <w:snapToGrid w:val="0"/>
        <w:spacing w:line="520"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依据标准</w:t>
      </w:r>
    </w:p>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6675.1-2014 《玩具安全 第1部分：基本规范》</w:t>
      </w:r>
    </w:p>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6675.2-2014 《玩具安全 第2部分：机械与物理性能》及第1号修改单</w:t>
      </w:r>
    </w:p>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6675.3-2014 《玩具安全 第3部分：易燃性能》</w:t>
      </w:r>
    </w:p>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6675.4-2014 《玩具安全 第4部分：特定元素的迁移》</w:t>
      </w:r>
    </w:p>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22048-2015《玩具及儿童用品中特定邻苯二甲酸酯增塑剂的测定》</w:t>
      </w:r>
    </w:p>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22048</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2022《玩具及儿童用品中特定邻苯二甲酸酯增塑剂的测定》</w:t>
      </w:r>
    </w:p>
    <w:p>
      <w:pPr>
        <w:widowControl w:val="0"/>
        <w:wordWrap/>
        <w:adjustRightInd w:val="0"/>
        <w:snapToGrid w:val="0"/>
        <w:spacing w:line="520" w:lineRule="exact"/>
        <w:ind w:left="0" w:leftChars="0" w:right="0" w:firstLine="4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现行有效的企业标准、团体标准、地方标准及产品明示质量要求</w:t>
      </w:r>
    </w:p>
    <w:p>
      <w:pPr>
        <w:widowControl w:val="0"/>
        <w:wordWrap/>
        <w:adjustRightInd w:val="0"/>
        <w:snapToGrid w:val="0"/>
        <w:spacing w:line="520"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判定原则</w:t>
      </w:r>
    </w:p>
    <w:p>
      <w:pPr>
        <w:widowControl w:val="0"/>
        <w:wordWrap/>
        <w:adjustRightInd w:val="0"/>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经检验，所检验项目全部符合标准要求，判定为被抽查产品未发现不合格；检验项目中任一项或一项以上不合格，判定为被抽查产品不合格。当产品存在A类项目不合格时，属于严重不合格。</w:t>
      </w:r>
    </w:p>
    <w:p>
      <w:pPr>
        <w:widowControl w:val="0"/>
        <w:wordWrap/>
        <w:adjustRightInd w:val="0"/>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若被检产品明示的质量要求高于本细则中检验项目依据的标准要求时，应按被检产品明示的质量要求判定。</w:t>
      </w:r>
    </w:p>
    <w:p>
      <w:pPr>
        <w:widowControl w:val="0"/>
        <w:wordWrap/>
        <w:adjustRightInd w:val="0"/>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若被检产品明示的质量要求低于本细则中检验项目依据的强制性标准要求时，应按照强制性标准要求判定。</w:t>
      </w:r>
    </w:p>
    <w:p>
      <w:pPr>
        <w:widowControl w:val="0"/>
        <w:wordWrap/>
        <w:adjustRightInd w:val="0"/>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若被检产品明示的质量要求低于或包含本细则中检验项目依据的推荐性标准要求时，应以被检产品明示的质量要求判定，但应在检验报告备注中进行说明。</w:t>
      </w:r>
    </w:p>
    <w:p>
      <w:pPr>
        <w:widowControl w:val="0"/>
        <w:wordWrap/>
        <w:adjustRightInd w:val="0"/>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若被检产品明示的质量要求缺少本细则中检验项目依据的强制性标准要求时，应按照强制性标准要求判定。</w:t>
      </w:r>
    </w:p>
    <w:p>
      <w:pPr>
        <w:widowControl w:val="0"/>
        <w:wordWrap/>
        <w:adjustRightInd w:val="0"/>
        <w:snapToGrid w:val="0"/>
        <w:spacing w:line="520" w:lineRule="exact"/>
        <w:ind w:left="0" w:leftChars="0" w:right="0" w:firstLine="418" w:firstLineChars="199"/>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若被检产品明示的质量要求缺少本细则中检验项目依据的推荐性标准要求时，该项目不参与判定，但应在检验报告备注中进行说明。</w:t>
      </w:r>
    </w:p>
    <w:sectPr>
      <w:pgSz w:w="11906" w:h="16838"/>
      <w:pgMar w:top="1440" w:right="1763" w:bottom="1440" w:left="1763"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E7DED"/>
    <w:rsid w:val="001846CA"/>
    <w:rsid w:val="0018788B"/>
    <w:rsid w:val="001B69E7"/>
    <w:rsid w:val="0028116A"/>
    <w:rsid w:val="002E174E"/>
    <w:rsid w:val="00351CC9"/>
    <w:rsid w:val="00363B0C"/>
    <w:rsid w:val="004E7DED"/>
    <w:rsid w:val="00521E18"/>
    <w:rsid w:val="007F7F0C"/>
    <w:rsid w:val="0085682F"/>
    <w:rsid w:val="00912383"/>
    <w:rsid w:val="00B46210"/>
    <w:rsid w:val="00CE4342"/>
    <w:rsid w:val="00DD663C"/>
    <w:rsid w:val="00E0218D"/>
    <w:rsid w:val="00F86C1F"/>
    <w:rsid w:val="32B91A53"/>
    <w:rsid w:val="47FD1A80"/>
    <w:rsid w:val="48220665"/>
    <w:rsid w:val="51D058C8"/>
    <w:rsid w:val="675257D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3">
    <w:name w:val="Plain Text"/>
    <w:basedOn w:val="1"/>
    <w:link w:val="11"/>
    <w:unhideWhenUsed/>
    <w:qFormat/>
    <w:uiPriority w:val="99"/>
    <w:rPr>
      <w:rFonts w:ascii="宋体" w:hAnsi="Courier New"/>
      <w:kern w:val="0"/>
      <w:sz w:val="20"/>
      <w:szCs w:val="20"/>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项·"/>
    <w:qFormat/>
    <w:uiPriority w:val="99"/>
    <w:pPr>
      <w:tabs>
        <w:tab w:val="left" w:pos="840"/>
      </w:tabs>
      <w:ind w:left="420"/>
      <w:jc w:val="both"/>
    </w:pPr>
    <w:rPr>
      <w:rFonts w:ascii="宋体" w:hAnsi="Times New Roman" w:eastAsia="宋体" w:cs="Times New Roman"/>
      <w:kern w:val="0"/>
      <w:sz w:val="21"/>
      <w:szCs w:val="22"/>
      <w:lang w:val="en-US" w:eastAsia="zh-CN" w:bidi="ar-SA"/>
    </w:r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0"/>
    <w:rPr>
      <w:sz w:val="18"/>
      <w:szCs w:val="18"/>
    </w:rPr>
  </w:style>
  <w:style w:type="character" w:customStyle="1" w:styleId="11">
    <w:name w:val="纯文本 Char"/>
    <w:basedOn w:val="6"/>
    <w:link w:val="3"/>
    <w:qFormat/>
    <w:uiPriority w:val="99"/>
    <w:rPr>
      <w:rFonts w:ascii="宋体" w:hAnsi="Courier New" w:eastAsia="宋体" w:cs="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7</Pages>
  <Words>769</Words>
  <Characters>4384</Characters>
  <Lines>36</Lines>
  <Paragraphs>10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2023-05-10T02:15:00Z</dcterms:created>
  <dc:creator>JYQG</dc:creator>
  <cp:lastModifiedBy>杨艳华</cp:lastModifiedBy>
  <dcterms:modified xsi:type="dcterms:W3CDTF">2023-07-06T02:10:19Z</dcterms:modified>
  <dc:title>附件21：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