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清远市工程建设领域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农民工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工资保证金</w:t>
      </w:r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减免审核表</w:t>
      </w:r>
    </w:p>
    <w:p>
      <w:pPr>
        <w:spacing w:line="560" w:lineRule="exact"/>
        <w:rPr>
          <w:rFonts w:hint="eastAsia" w:ascii="仿宋_GB2312" w:hAnsi="方正小标宋简体" w:eastAsia="仿宋_GB2312" w:cs="方正小标宋简体"/>
          <w:color w:val="auto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color w:val="auto"/>
          <w:sz w:val="28"/>
          <w:szCs w:val="28"/>
        </w:rPr>
        <w:t xml:space="preserve">申请单位（盖章）：               </w:t>
      </w:r>
      <w:r>
        <w:rPr>
          <w:rFonts w:hint="eastAsia" w:ascii="仿宋_GB2312" w:hAnsi="方正小标宋简体" w:eastAsia="仿宋_GB2312" w:cs="方正小标宋简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方正小标宋简体" w:eastAsia="仿宋_GB2312" w:cs="方正小标宋简体"/>
          <w:color w:val="auto"/>
          <w:sz w:val="28"/>
          <w:szCs w:val="28"/>
        </w:rPr>
        <w:t xml:space="preserve">        日期：  年  月  日</w:t>
      </w:r>
    </w:p>
    <w:tbl>
      <w:tblPr>
        <w:tblStyle w:val="4"/>
        <w:tblW w:w="8670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3234"/>
        <w:gridCol w:w="145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highlight w:val="none"/>
              </w:rPr>
              <w:t>总承包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单位</w:t>
            </w:r>
          </w:p>
        </w:tc>
        <w:tc>
          <w:tcPr>
            <w:tcW w:w="664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名称</w:t>
            </w:r>
          </w:p>
        </w:tc>
        <w:tc>
          <w:tcPr>
            <w:tcW w:w="3234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工程造价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323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工    期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减免理由</w:t>
            </w:r>
          </w:p>
        </w:tc>
        <w:tc>
          <w:tcPr>
            <w:tcW w:w="6645" w:type="dxa"/>
            <w:gridSpan w:val="3"/>
            <w:noWrap w:val="0"/>
            <w:vAlign w:val="center"/>
          </w:tcPr>
          <w:p>
            <w:pPr>
              <w:spacing w:line="0" w:lineRule="atLeast"/>
              <w:ind w:left="270" w:hanging="300" w:hangingChars="100"/>
              <w:rPr>
                <w:rFonts w:hint="eastAsia" w:eastAsia="仿宋_GB2312" w:cs="仿宋_GB2312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pacing w:val="30"/>
                <w:sz w:val="24"/>
                <w:szCs w:val="24"/>
              </w:rPr>
              <w:t>□</w:t>
            </w:r>
            <w:r>
              <w:rPr>
                <w:rFonts w:hint="eastAsia" w:eastAsia="仿宋_GB2312" w:cs="仿宋_GB2312"/>
                <w:color w:val="auto"/>
                <w:spacing w:val="30"/>
                <w:sz w:val="24"/>
                <w:szCs w:val="24"/>
                <w:lang w:eastAsia="zh-CN"/>
              </w:rPr>
              <w:t>在我市辖区内承建工程连续2年未发生工资拖欠</w:t>
            </w:r>
            <w:r>
              <w:rPr>
                <w:rFonts w:hint="eastAsia" w:eastAsia="仿宋_GB2312" w:cs="仿宋_GB2312"/>
                <w:color w:val="auto"/>
                <w:spacing w:val="30"/>
                <w:sz w:val="24"/>
                <w:szCs w:val="24"/>
              </w:rPr>
              <w:t>且按要求落实用工实名制管理和农民工工资专用账户制度。</w:t>
            </w:r>
          </w:p>
          <w:p>
            <w:pPr>
              <w:spacing w:line="0" w:lineRule="atLeast"/>
              <w:ind w:left="270" w:hanging="300" w:hangingChars="100"/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pacing w:val="30"/>
                <w:sz w:val="24"/>
                <w:szCs w:val="24"/>
              </w:rPr>
              <w:t>□</w:t>
            </w:r>
            <w:r>
              <w:rPr>
                <w:rFonts w:hint="eastAsia" w:eastAsia="仿宋_GB2312" w:cs="仿宋_GB2312"/>
                <w:color w:val="auto"/>
                <w:spacing w:val="30"/>
                <w:sz w:val="24"/>
                <w:szCs w:val="24"/>
                <w:lang w:eastAsia="zh-CN"/>
              </w:rPr>
              <w:t>在我市辖区内承建工程连续</w:t>
            </w:r>
            <w:r>
              <w:rPr>
                <w:rFonts w:hint="eastAsia" w:eastAsia="仿宋_GB2312" w:cs="仿宋_GB2312"/>
                <w:color w:val="auto"/>
                <w:spacing w:val="3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 w:cs="仿宋_GB2312"/>
                <w:color w:val="auto"/>
                <w:spacing w:val="30"/>
                <w:sz w:val="24"/>
                <w:szCs w:val="24"/>
                <w:lang w:eastAsia="zh-CN"/>
              </w:rPr>
              <w:t>年未发生工资拖欠</w:t>
            </w:r>
            <w:r>
              <w:rPr>
                <w:rFonts w:hint="eastAsia" w:eastAsia="仿宋_GB2312" w:cs="仿宋_GB2312"/>
                <w:color w:val="auto"/>
                <w:spacing w:val="30"/>
                <w:sz w:val="24"/>
                <w:szCs w:val="24"/>
              </w:rPr>
              <w:t>且按要求落实用工实名制管理和农民工工资专用账户制度。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2025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工程建设行业主管部门意见</w:t>
            </w:r>
          </w:p>
        </w:tc>
        <w:tc>
          <w:tcPr>
            <w:tcW w:w="6645" w:type="dxa"/>
            <w:gridSpan w:val="3"/>
            <w:noWrap w:val="0"/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right="440" w:firstLine="5040" w:firstLineChars="2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ind w:right="44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0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人力资源社会保障行政部门意见</w:t>
            </w:r>
          </w:p>
        </w:tc>
        <w:tc>
          <w:tcPr>
            <w:tcW w:w="664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经办意见：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664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02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664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    批：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right="440" w:firstLine="5040" w:firstLineChars="2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67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备注：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1.市工程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建设行业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主管部门：审核申报单位近2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3年</w:t>
            </w:r>
            <w:r>
              <w:rPr>
                <w:rFonts w:hint="eastAsia" w:eastAsia="仿宋_GB2312" w:cs="仿宋_GB2312"/>
                <w:color w:val="auto"/>
                <w:spacing w:val="30"/>
                <w:sz w:val="21"/>
                <w:szCs w:val="21"/>
              </w:rPr>
              <w:t>落实用工实名制管理制度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情况。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市人力资源社会保障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审核申报单位近2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3年有无</w:t>
            </w:r>
            <w:r>
              <w:rPr>
                <w:rFonts w:hint="eastAsia" w:eastAsia="仿宋_GB2312" w:cs="仿宋_GB2312"/>
                <w:color w:val="auto"/>
                <w:spacing w:val="30"/>
                <w:sz w:val="21"/>
                <w:szCs w:val="21"/>
                <w:lang w:eastAsia="zh-CN"/>
              </w:rPr>
              <w:t>发生工资拖欠</w:t>
            </w:r>
            <w:r>
              <w:rPr>
                <w:rFonts w:hint="eastAsia" w:eastAsia="仿宋_GB2312" w:cs="仿宋_GB2312"/>
                <w:color w:val="auto"/>
                <w:spacing w:val="30"/>
                <w:sz w:val="21"/>
                <w:szCs w:val="21"/>
              </w:rPr>
              <w:t>且按要求落实农民工工资专用账户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制度情况。</w:t>
            </w:r>
          </w:p>
        </w:tc>
      </w:tr>
    </w:tbl>
    <w:p/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00EE0"/>
    <w:rsid w:val="09B82F43"/>
    <w:rsid w:val="39BB3305"/>
    <w:rsid w:val="3A300EE0"/>
    <w:rsid w:val="4C0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2023-11-20T05:20:00Z</dcterms:created>
  <dc:creator>温嘉辉</dc:creator>
  <cp:lastModifiedBy>温嘉辉</cp:lastModifiedBy>
  <dcterms:modified xsi:type="dcterms:W3CDTF">2023-11-20T05:31:33Z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