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441802009001GB00813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柒</w:t>
      </w:r>
      <w:r>
        <w:rPr>
          <w:rFonts w:hint="eastAsia" w:ascii="仿宋_GB2312" w:hAnsi="宋体" w:eastAsia="仿宋_GB2312" w:cs="仿宋_GB2312"/>
          <w:color w:val="auto"/>
          <w:u w:val="single"/>
          <w:lang w:val="en-US" w:eastAsia="zh-CN"/>
        </w:rPr>
        <w:t>拾玖点柒贰</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79.72</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柒拾玖点柒贰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79.72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0.0079</w:t>
      </w:r>
      <w:bookmarkStart w:id="44" w:name="_GoBack"/>
      <w:bookmarkEnd w:id="44"/>
      <w:r>
        <w:rPr>
          <w:rFonts w:hint="eastAsia" w:ascii="仿宋_GB2312" w:hAnsi="宋体" w:eastAsia="仿宋_GB2312" w:cs="仿宋_GB2312"/>
          <w:u w:val="single"/>
          <w:lang w:val="en-US" w:eastAsia="zh-CN"/>
        </w:rPr>
        <w:t>72</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r>
        <w:rPr>
          <w:rFonts w:hint="eastAsia" w:ascii="仿宋_GB2312" w:hAnsi="宋体" w:eastAsia="仿宋_GB2312" w:cs="仿宋_GB2312"/>
          <w:lang w:eastAsia="zh-CN"/>
        </w:rPr>
        <w:t>第一期出让价款</w:t>
      </w:r>
      <w:r>
        <w:rPr>
          <w:rFonts w:hint="eastAsia" w:ascii="仿宋_GB2312" w:hAnsi="宋体" w:eastAsia="仿宋_GB2312" w:cs="仿宋_GB2312"/>
          <w:lang w:val="en-US" w:eastAsia="zh-CN"/>
        </w:rPr>
        <w:t>=</w:t>
      </w:r>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39.86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出让地块必须符合清远市自然资源局核发的《审定通知书（建设用地（含临时用地）规划许可证核发）》和《规划条件通知书（非工业类）》（项目编号：B202400091、案卷编号：用地许可B2024-0093）的要求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x年x月x日在清远市自然资源交易网公布的《国有建设用地使用权挂牌出让文件》（编号：清政务地挂出（202x）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BC93C12"/>
    <w:rsid w:val="3DBF000F"/>
    <w:rsid w:val="3E060C1D"/>
    <w:rsid w:val="49EF6A6D"/>
    <w:rsid w:val="4A5560AC"/>
    <w:rsid w:val="4C2313A5"/>
    <w:rsid w:val="4D4F5BC9"/>
    <w:rsid w:val="58754712"/>
    <w:rsid w:val="58C92B3D"/>
    <w:rsid w:val="6892220F"/>
    <w:rsid w:val="7A2B4E1F"/>
    <w:rsid w:val="7DFD5B66"/>
    <w:rsid w:val="7F3371B0"/>
    <w:rsid w:val="8FF5C948"/>
    <w:rsid w:val="CFF981EA"/>
    <w:rsid w:val="FABA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4"/>
        <o:r id="V:Rule2" type="connector" idref="#直接连接符 6"/>
        <o:r id="V:Rule3" type="connector" idref="#直接连接符 13"/>
        <o:r id="V:Rule4" type="connector" idref="#直接连接符 14"/>
        <o:r id="V:Rule5" type="connector" idref="#直接连接符 15"/>
        <o:r id="V:Rule6" type="connector" idref="#直接连接符 16"/>
        <o:r id="V:Rule7" type="connector" idref="#直接连接符 17"/>
        <o:r id="V:Rule8" type="connector" idref="#直接连接符 18"/>
        <o:r id="V:Rule9" type="connector" idref="#直接连接符 21"/>
        <o:r id="V:Rule10" type="connector" idref="#直接连接符 22"/>
        <o:r id="V:Rule11" type="connector" idref="#直接连接符 23"/>
        <o:r id="V:Rule12" type="connector" idref="#直接连接符 24"/>
        <o:r id="V:Rule13" type="connector" idref="#直接连接符 25"/>
        <o:r id="V:Rule14" type="connector" idref="#直接连接符 26"/>
        <o:r id="V:Rule15" type="connector" idref="#直接连接符 27"/>
        <o:r id="V:Rule16" type="connector" idref="#直接连接符 28"/>
        <o:r id="V:Rule17" type="connector" idref="#直接连接符 29"/>
        <o:r id="V:Rule18" type="connector" idref="#直接连接符 30"/>
        <o:r id="V:Rule19" type="connector" idref="#直接连接符 31"/>
        <o:r id="V:Rule20" type="connector" idref="#直接连接符 32"/>
        <o:r id="V:Rule21" type="connector" idref="#直接连接符 33"/>
        <o:r id="V:Rule22" type="connector" idref="#直接连接符 34"/>
        <o:r id="V:Rule23" type="connector" idref="#直接连接符 35"/>
        <o:r id="V:Rule24" type="connector" idref="#直接连接符 36"/>
        <o:r id="V:Rule25" type="connector" idref="#直接连接符 37"/>
        <o:r id="V:Rule26" type="connector" idref="#直接连接符 38"/>
        <o:r id="V:Rule27" type="connector" idref="#直接连接符 39"/>
        <o:r id="V:Rule28" type="connector" idref="#直接连接符 40"/>
        <o:r id="V:Rule29" type="connector" idref="#直接连接符 41"/>
        <o:r id="V:Rule30" type="connector" idref="#直接连接符 42"/>
        <o:r id="V:Rule31"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2024-03-30T07:06:00Z</dcterms:created>
  <dc:creator>赖育城</dc:creator>
  <cp:lastModifiedBy>user</cp:lastModifiedBy>
  <dcterms:modified xsi:type="dcterms:W3CDTF">2024-04-22T15:56:53Z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