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before="101" w:line="230" w:lineRule="auto"/>
        <w:ind w:left="309"/>
        <w:rPr>
          <w:rFonts w:hint="eastAsia" w:ascii="黑体" w:hAnsi="黑体" w:eastAsia="黑体" w:cs="黑体"/>
          <w:sz w:val="21"/>
          <w:szCs w:val="21"/>
          <w:lang w:val="en-US"/>
        </w:rPr>
      </w:pPr>
      <w:r>
        <w:rPr>
          <w:rFonts w:hint="eastAsia" w:ascii="黑体" w:hAnsi="黑体" w:eastAsia="黑体" w:cs="黑体"/>
          <w:spacing w:val="-12"/>
          <w:sz w:val="21"/>
          <w:szCs w:val="21"/>
        </w:rPr>
        <w:t>附件</w:t>
      </w:r>
      <w:r>
        <w:rPr>
          <w:rFonts w:hint="eastAsia" w:ascii="黑体" w:hAnsi="黑体" w:eastAsia="黑体" w:cs="黑体"/>
          <w:spacing w:val="-45"/>
          <w:sz w:val="21"/>
          <w:szCs w:val="21"/>
        </w:rPr>
        <w:t xml:space="preserve"> </w:t>
      </w:r>
      <w:r>
        <w:rPr>
          <w:rFonts w:hint="eastAsia" w:ascii="黑体" w:hAnsi="黑体" w:eastAsia="黑体" w:cs="黑体"/>
          <w:spacing w:val="-12"/>
          <w:sz w:val="21"/>
          <w:szCs w:val="21"/>
          <w:lang w:val="en-US" w:eastAsia="zh-CN"/>
        </w:rPr>
        <w:t>2</w:t>
      </w:r>
    </w:p>
    <w:p>
      <w:pPr>
        <w:widowControl/>
        <w:tabs>
          <w:tab w:val="left" w:pos="8190"/>
          <w:tab w:val="left" w:pos="8610"/>
          <w:tab w:val="left" w:pos="8820"/>
          <w:tab w:val="left" w:pos="9240"/>
        </w:tabs>
        <w:kinsoku w:val="0"/>
        <w:wordWrap/>
        <w:autoSpaceDE w:val="0"/>
        <w:autoSpaceDN w:val="0"/>
        <w:adjustRightInd w:val="0"/>
        <w:snapToGrid w:val="0"/>
        <w:spacing w:line="240" w:lineRule="auto"/>
        <w:ind w:right="34"/>
        <w:jc w:val="center"/>
        <w:textAlignment w:val="baseline"/>
        <w:rPr>
          <w:rFonts w:hint="eastAsia" w:ascii="方正小标宋简体" w:hAnsi="方正小标宋简体" w:eastAsia="方正小标宋简体" w:cs="方正小标宋简体"/>
          <w:spacing w:val="5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5"/>
          <w:sz w:val="44"/>
          <w:szCs w:val="44"/>
          <w:lang w:eastAsia="zh-CN"/>
        </w:rPr>
        <w:t>清远市市场监督管理局</w:t>
      </w:r>
      <w:r>
        <w:rPr>
          <w:rFonts w:hint="eastAsia" w:ascii="方正小标宋简体" w:hAnsi="方正小标宋简体" w:eastAsia="方正小标宋简体" w:cs="方正小标宋简体"/>
          <w:spacing w:val="5"/>
          <w:sz w:val="44"/>
          <w:szCs w:val="44"/>
        </w:rPr>
        <w:t>成品油产品质量监督</w:t>
      </w:r>
    </w:p>
    <w:p>
      <w:pPr>
        <w:widowControl/>
        <w:tabs>
          <w:tab w:val="left" w:pos="8190"/>
          <w:tab w:val="left" w:pos="8610"/>
          <w:tab w:val="left" w:pos="8820"/>
          <w:tab w:val="left" w:pos="9240"/>
        </w:tabs>
        <w:kinsoku w:val="0"/>
        <w:wordWrap/>
        <w:autoSpaceDE w:val="0"/>
        <w:autoSpaceDN w:val="0"/>
        <w:adjustRightInd w:val="0"/>
        <w:snapToGrid w:val="0"/>
        <w:spacing w:line="240" w:lineRule="auto"/>
        <w:ind w:right="34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5"/>
          <w:sz w:val="44"/>
          <w:szCs w:val="44"/>
        </w:rPr>
        <w:t>抽查</w:t>
      </w:r>
      <w:r>
        <w:rPr>
          <w:rFonts w:hint="eastAsia" w:ascii="方正小标宋简体" w:hAnsi="方正小标宋简体" w:eastAsia="方正小标宋简体" w:cs="方正小标宋简体"/>
          <w:spacing w:val="8"/>
          <w:sz w:val="44"/>
          <w:szCs w:val="44"/>
        </w:rPr>
        <w:t>（快速检测）实施细则</w:t>
      </w:r>
      <w:r>
        <w:rPr>
          <w:rFonts w:hint="eastAsia" w:ascii="方正小标宋简体" w:hAnsi="方正小标宋简体" w:eastAsia="方正小标宋简体" w:cs="方正小标宋简体"/>
          <w:spacing w:val="8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pacing w:val="8"/>
          <w:sz w:val="44"/>
          <w:szCs w:val="44"/>
          <w:lang w:val="en-US" w:eastAsia="zh-CN"/>
        </w:rPr>
        <w:t>2024年</w:t>
      </w:r>
      <w:r>
        <w:rPr>
          <w:rFonts w:hint="eastAsia" w:ascii="方正小标宋简体" w:hAnsi="方正小标宋简体" w:eastAsia="方正小标宋简体" w:cs="方正小标宋简体"/>
          <w:spacing w:val="8"/>
          <w:sz w:val="44"/>
          <w:szCs w:val="44"/>
          <w:lang w:eastAsia="zh-CN"/>
        </w:rPr>
        <w:t>）</w:t>
      </w:r>
    </w:p>
    <w:p>
      <w:pPr>
        <w:spacing w:line="247" w:lineRule="auto"/>
        <w:rPr>
          <w:rFonts w:ascii="Arial"/>
          <w:sz w:val="21"/>
        </w:rPr>
      </w:pPr>
    </w:p>
    <w:p>
      <w:pPr>
        <w:widowControl/>
        <w:kinsoku w:val="0"/>
        <w:wordWrap/>
        <w:autoSpaceDE w:val="0"/>
        <w:autoSpaceDN w:val="0"/>
        <w:adjustRightInd w:val="0"/>
        <w:snapToGrid w:val="0"/>
        <w:spacing w:line="360" w:lineRule="auto"/>
        <w:ind w:firstLine="632" w:firstLineChars="200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3"/>
          <w:sz w:val="32"/>
          <w:szCs w:val="32"/>
        </w:rPr>
        <w:t>一、抽样方法</w:t>
      </w:r>
    </w:p>
    <w:p>
      <w:pPr>
        <w:pStyle w:val="2"/>
        <w:widowControl/>
        <w:kinsoku w:val="0"/>
        <w:wordWrap/>
        <w:autoSpaceDE w:val="0"/>
        <w:autoSpaceDN w:val="0"/>
        <w:adjustRightInd w:val="0"/>
        <w:snapToGrid w:val="0"/>
        <w:spacing w:line="360" w:lineRule="auto"/>
        <w:ind w:right="33" w:firstLine="62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以随机抽样的方式在被抽样经营者的待销产品中抽取。</w:t>
      </w:r>
    </w:p>
    <w:p>
      <w:pPr>
        <w:pStyle w:val="2"/>
        <w:widowControl/>
        <w:kinsoku w:val="0"/>
        <w:wordWrap/>
        <w:autoSpaceDE w:val="0"/>
        <w:autoSpaceDN w:val="0"/>
        <w:adjustRightInd w:val="0"/>
        <w:snapToGrid w:val="0"/>
        <w:spacing w:line="360" w:lineRule="auto"/>
        <w:ind w:right="33" w:firstLine="632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随机数一般可使用随机数表等方法产生。</w:t>
      </w:r>
    </w:p>
    <w:p>
      <w:pPr>
        <w:pStyle w:val="2"/>
        <w:widowControl/>
        <w:kinsoku w:val="0"/>
        <w:wordWrap/>
        <w:autoSpaceDE w:val="0"/>
        <w:autoSpaceDN w:val="0"/>
        <w:adjustRightInd w:val="0"/>
        <w:snapToGrid w:val="0"/>
        <w:spacing w:line="360" w:lineRule="auto"/>
        <w:ind w:right="33" w:firstLine="712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3"/>
          <w:sz w:val="32"/>
          <w:szCs w:val="32"/>
        </w:rPr>
        <w:t>抽查数量：每款产品抽取 1</w:t>
      </w:r>
      <w:r>
        <w:rPr>
          <w:rFonts w:hint="eastAsia" w:ascii="仿宋_GB2312" w:hAnsi="仿宋_GB2312" w:eastAsia="仿宋_GB2312" w:cs="仿宋_GB2312"/>
          <w:spacing w:val="23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23"/>
          <w:sz w:val="32"/>
          <w:szCs w:val="32"/>
        </w:rPr>
        <w:t>组样本</w:t>
      </w:r>
      <w:r>
        <w:rPr>
          <w:rFonts w:hint="eastAsia" w:ascii="仿宋_GB2312" w:hAnsi="仿宋_GB2312" w:eastAsia="仿宋_GB2312" w:cs="仿宋_GB2312"/>
          <w:spacing w:val="-87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23"/>
          <w:sz w:val="32"/>
          <w:szCs w:val="32"/>
        </w:rPr>
        <w:t>，每组样品量不少于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300</w:t>
      </w:r>
      <w:r>
        <w:rPr>
          <w:rFonts w:hint="eastAsia" w:ascii="仿宋_GB2312" w:hAnsi="仿宋_GB2312" w:eastAsia="仿宋_GB2312" w:cs="仿宋_GB2312"/>
          <w:sz w:val="32"/>
          <w:szCs w:val="32"/>
        </w:rPr>
        <w:t>mL</w:t>
      </w:r>
      <w:r>
        <w:rPr>
          <w:rFonts w:hint="eastAsia" w:ascii="仿宋_GB2312" w:hAnsi="仿宋_GB2312" w:eastAsia="仿宋_GB2312" w:cs="仿宋_GB2312"/>
          <w:spacing w:val="-33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。具体抽样数量和方法如下：</w:t>
      </w:r>
    </w:p>
    <w:p>
      <w:pPr>
        <w:pStyle w:val="2"/>
        <w:widowControl/>
        <w:tabs>
          <w:tab w:val="left" w:pos="8820"/>
        </w:tabs>
        <w:kinsoku w:val="0"/>
        <w:wordWrap/>
        <w:autoSpaceDE w:val="0"/>
        <w:autoSpaceDN w:val="0"/>
        <w:adjustRightInd w:val="0"/>
        <w:snapToGrid w:val="0"/>
        <w:spacing w:line="360" w:lineRule="auto"/>
        <w:ind w:right="247" w:firstLine="648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在生产企业（油库）抽样时，按</w:t>
      </w:r>
      <w:r>
        <w:rPr>
          <w:rFonts w:hint="eastAsia" w:ascii="仿宋_GB2312" w:hAnsi="仿宋_GB2312" w:eastAsia="仿宋_GB2312" w:cs="仿宋_GB2312"/>
          <w:sz w:val="32"/>
          <w:szCs w:val="32"/>
        </w:rPr>
        <w:t>GB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/T 4756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-2015《石油液体手工取样法》规定的方法抽取样本；在加油站或燃油供应船舶或燃油供应车辆抽样时，直接在加油机加油枪或加油管出口处（或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取样处）随机抽取样本。</w:t>
      </w:r>
    </w:p>
    <w:p>
      <w:pPr>
        <w:pStyle w:val="2"/>
        <w:widowControl/>
        <w:kinsoku w:val="0"/>
        <w:wordWrap/>
        <w:autoSpaceDE w:val="0"/>
        <w:autoSpaceDN w:val="0"/>
        <w:adjustRightInd w:val="0"/>
        <w:snapToGrid w:val="0"/>
        <w:spacing w:line="360" w:lineRule="auto"/>
        <w:ind w:right="254"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抽取样本前，通过油枪或油管将至少4L油品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放出，清洗加油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管，避免加油管污染样品，同时清洗取样容器至少3次。</w:t>
      </w:r>
    </w:p>
    <w:p>
      <w:pPr>
        <w:widowControl/>
        <w:kinsoku w:val="0"/>
        <w:wordWrap/>
        <w:autoSpaceDE w:val="0"/>
        <w:autoSpaceDN w:val="0"/>
        <w:adjustRightInd w:val="0"/>
        <w:snapToGrid w:val="0"/>
        <w:spacing w:line="360" w:lineRule="auto"/>
        <w:ind w:firstLine="640" w:firstLineChars="200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5"/>
          <w:sz w:val="32"/>
          <w:szCs w:val="32"/>
        </w:rPr>
        <w:t>二、主要检验项目及检验项目属性划分</w:t>
      </w:r>
    </w:p>
    <w:p>
      <w:pPr>
        <w:widowControl/>
        <w:kinsoku w:val="0"/>
        <w:wordWrap/>
        <w:autoSpaceDE w:val="0"/>
        <w:autoSpaceDN w:val="0"/>
        <w:adjustRightInd w:val="0"/>
        <w:snapToGrid w:val="0"/>
        <w:spacing w:line="360" w:lineRule="auto"/>
        <w:ind w:firstLine="640" w:firstLineChars="200"/>
        <w:textAlignment w:val="baseline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5"/>
          <w:sz w:val="32"/>
          <w:szCs w:val="32"/>
        </w:rPr>
        <w:t>（一）车用汽油</w:t>
      </w:r>
    </w:p>
    <w:p>
      <w:pPr>
        <w:spacing w:line="360" w:lineRule="auto"/>
        <w:rPr>
          <w:rFonts w:ascii="Arial"/>
          <w:sz w:val="2"/>
        </w:rPr>
      </w:pPr>
    </w:p>
    <w:tbl>
      <w:tblPr>
        <w:tblStyle w:val="9"/>
        <w:tblW w:w="871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1"/>
        <w:gridCol w:w="1578"/>
        <w:gridCol w:w="1828"/>
        <w:gridCol w:w="964"/>
        <w:gridCol w:w="964"/>
        <w:gridCol w:w="964"/>
        <w:gridCol w:w="964"/>
        <w:gridCol w:w="96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491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1578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检验项目</w:t>
            </w:r>
          </w:p>
        </w:tc>
        <w:tc>
          <w:tcPr>
            <w:tcW w:w="1828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检验方法</w:t>
            </w: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强制性</w:t>
            </w: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非强制性</w:t>
            </w: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重要项</w:t>
            </w: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较重要项</w:t>
            </w: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次要项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491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578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研究法辛烷值</w:t>
            </w:r>
          </w:p>
        </w:tc>
        <w:tc>
          <w:tcPr>
            <w:tcW w:w="1828" w:type="dxa"/>
            <w:vMerge w:val="restart"/>
            <w:tcBorders>
              <w:bottom w:val="nil"/>
            </w:tcBorders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T/CAQI 232-2021</w:t>
            </w:r>
          </w:p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T/GPCIA 0006—2022</w:t>
            </w:r>
          </w:p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SH.HY-043-2022</w:t>
            </w: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●</w:t>
            </w: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●</w:t>
            </w: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491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578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硫含量</w:t>
            </w:r>
          </w:p>
        </w:tc>
        <w:tc>
          <w:tcPr>
            <w:tcW w:w="182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●</w:t>
            </w: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●</w:t>
            </w: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491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578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苯含量</w:t>
            </w:r>
          </w:p>
        </w:tc>
        <w:tc>
          <w:tcPr>
            <w:tcW w:w="182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●</w:t>
            </w: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●</w:t>
            </w: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491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578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芳烃含量</w:t>
            </w:r>
          </w:p>
        </w:tc>
        <w:tc>
          <w:tcPr>
            <w:tcW w:w="182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●</w:t>
            </w: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●</w:t>
            </w: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491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578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烯烃含量</w:t>
            </w:r>
          </w:p>
        </w:tc>
        <w:tc>
          <w:tcPr>
            <w:tcW w:w="182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●</w:t>
            </w: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●</w:t>
            </w: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491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578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氧含量</w:t>
            </w:r>
          </w:p>
        </w:tc>
        <w:tc>
          <w:tcPr>
            <w:tcW w:w="182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●</w:t>
            </w: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●</w:t>
            </w: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491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578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密度（20℃)</w:t>
            </w:r>
          </w:p>
        </w:tc>
        <w:tc>
          <w:tcPr>
            <w:tcW w:w="182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●</w:t>
            </w: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●</w:t>
            </w: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491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578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蒸气压</w:t>
            </w:r>
          </w:p>
        </w:tc>
        <w:tc>
          <w:tcPr>
            <w:tcW w:w="1828" w:type="dxa"/>
            <w:vMerge w:val="continue"/>
            <w:tcBorders>
              <w:top w:val="nil"/>
            </w:tcBorders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●</w:t>
            </w: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●</w:t>
            </w: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</w:tbl>
    <w:p>
      <w:pPr>
        <w:spacing w:before="101" w:line="360" w:lineRule="auto"/>
        <w:ind w:firstLine="604" w:firstLineChars="200"/>
        <w:jc w:val="both"/>
        <w:rPr>
          <w:rFonts w:ascii="楷体" w:hAnsi="楷体" w:eastAsia="楷体" w:cs="楷体"/>
          <w:sz w:val="32"/>
          <w:szCs w:val="32"/>
        </w:rPr>
      </w:pPr>
      <w:r>
        <w:rPr>
          <w:rFonts w:ascii="楷体" w:hAnsi="楷体" w:eastAsia="楷体" w:cs="楷体"/>
          <w:spacing w:val="-4"/>
          <w:sz w:val="32"/>
          <w:szCs w:val="32"/>
        </w:rPr>
        <w:t>（</w:t>
      </w:r>
      <w:r>
        <w:rPr>
          <w:rFonts w:ascii="楷体" w:hAnsi="楷体" w:eastAsia="楷体" w:cs="楷体"/>
          <w:spacing w:val="-88"/>
          <w:sz w:val="32"/>
          <w:szCs w:val="32"/>
        </w:rPr>
        <w:t xml:space="preserve"> </w:t>
      </w:r>
      <w:r>
        <w:rPr>
          <w:rFonts w:ascii="楷体" w:hAnsi="楷体" w:eastAsia="楷体" w:cs="楷体"/>
          <w:spacing w:val="-4"/>
          <w:sz w:val="32"/>
          <w:szCs w:val="32"/>
        </w:rPr>
        <w:t>二）车用柴油</w:t>
      </w:r>
    </w:p>
    <w:tbl>
      <w:tblPr>
        <w:tblStyle w:val="9"/>
        <w:tblW w:w="871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1"/>
        <w:gridCol w:w="1547"/>
        <w:gridCol w:w="1859"/>
        <w:gridCol w:w="964"/>
        <w:gridCol w:w="964"/>
        <w:gridCol w:w="964"/>
        <w:gridCol w:w="964"/>
        <w:gridCol w:w="96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491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1547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检验项目</w:t>
            </w:r>
          </w:p>
        </w:tc>
        <w:tc>
          <w:tcPr>
            <w:tcW w:w="1859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检验方法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强制性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非强制性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重要项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较重要项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次要项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491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547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硫含量</w:t>
            </w:r>
          </w:p>
        </w:tc>
        <w:tc>
          <w:tcPr>
            <w:tcW w:w="1859" w:type="dxa"/>
            <w:vMerge w:val="restart"/>
            <w:tcBorders>
              <w:bottom w:val="nil"/>
            </w:tcBorders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T/CAQI 233-2021</w:t>
            </w:r>
          </w:p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T/GPCIA 0007—2022</w:t>
            </w:r>
          </w:p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SH.HY-044-2022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●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●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491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547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凝点</w:t>
            </w:r>
          </w:p>
        </w:tc>
        <w:tc>
          <w:tcPr>
            <w:tcW w:w="1859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●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●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491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547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闪点（闭口）</w:t>
            </w:r>
          </w:p>
        </w:tc>
        <w:tc>
          <w:tcPr>
            <w:tcW w:w="1859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●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●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491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547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十六烷值</w:t>
            </w:r>
          </w:p>
        </w:tc>
        <w:tc>
          <w:tcPr>
            <w:tcW w:w="1859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●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●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491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547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十六烷指数</w:t>
            </w:r>
          </w:p>
        </w:tc>
        <w:tc>
          <w:tcPr>
            <w:tcW w:w="1859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●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●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491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547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密度（20℃)</w:t>
            </w:r>
          </w:p>
        </w:tc>
        <w:tc>
          <w:tcPr>
            <w:tcW w:w="1859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●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●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491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547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冷滤点</w:t>
            </w:r>
          </w:p>
        </w:tc>
        <w:tc>
          <w:tcPr>
            <w:tcW w:w="1859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●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●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491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547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多环芳烃</w:t>
            </w:r>
          </w:p>
        </w:tc>
        <w:tc>
          <w:tcPr>
            <w:tcW w:w="1859" w:type="dxa"/>
            <w:vMerge w:val="continue"/>
            <w:tcBorders>
              <w:top w:val="nil"/>
            </w:tcBorders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●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●</w:t>
            </w: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center"/>
          </w:tcPr>
          <w:p>
            <w:pPr>
              <w:widowControl/>
              <w:kinsoku w:val="0"/>
              <w:wordWrap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</w:tbl>
    <w:p>
      <w:pPr>
        <w:spacing w:before="151" w:line="360" w:lineRule="auto"/>
        <w:ind w:firstLine="640" w:firstLineChars="200"/>
        <w:jc w:val="both"/>
        <w:rPr>
          <w:sz w:val="32"/>
          <w:szCs w:val="32"/>
        </w:rPr>
      </w:pPr>
      <w:r>
        <w:rPr>
          <w:rFonts w:ascii="楷体" w:hAnsi="楷体" w:eastAsia="楷体" w:cs="楷体"/>
          <w:spacing w:val="5"/>
          <w:position w:val="3"/>
          <w:sz w:val="32"/>
          <w:szCs w:val="32"/>
        </w:rPr>
        <w:t>（三）船用燃料油</w:t>
      </w:r>
      <w:r>
        <w:rPr>
          <w:rFonts w:ascii="Times New Roman" w:hAnsi="Times New Roman" w:eastAsia="Times New Roman" w:cs="Times New Roman"/>
          <w:spacing w:val="5"/>
          <w:position w:val="3"/>
          <w:sz w:val="32"/>
          <w:szCs w:val="32"/>
        </w:rPr>
        <w:t>(</w:t>
      </w:r>
      <w:r>
        <w:rPr>
          <w:rFonts w:ascii="楷体" w:hAnsi="楷体" w:eastAsia="楷体" w:cs="楷体"/>
          <w:spacing w:val="5"/>
          <w:position w:val="3"/>
          <w:sz w:val="32"/>
          <w:szCs w:val="32"/>
        </w:rPr>
        <w:t>内河船用燃料油）</w:t>
      </w:r>
    </w:p>
    <w:tbl>
      <w:tblPr>
        <w:tblStyle w:val="9"/>
        <w:tblW w:w="8729" w:type="dxa"/>
        <w:tblInd w:w="2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2"/>
        <w:gridCol w:w="1547"/>
        <w:gridCol w:w="1890"/>
        <w:gridCol w:w="964"/>
        <w:gridCol w:w="964"/>
        <w:gridCol w:w="964"/>
        <w:gridCol w:w="964"/>
        <w:gridCol w:w="96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</w:trPr>
        <w:tc>
          <w:tcPr>
            <w:tcW w:w="472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1547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检验项目</w:t>
            </w:r>
          </w:p>
        </w:tc>
        <w:tc>
          <w:tcPr>
            <w:tcW w:w="1890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检验方法</w:t>
            </w: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强制性</w:t>
            </w: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非强制性</w:t>
            </w: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重要项</w:t>
            </w: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较重要项</w:t>
            </w: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次要项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472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547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硫含量</w:t>
            </w:r>
          </w:p>
        </w:tc>
        <w:tc>
          <w:tcPr>
            <w:tcW w:w="1890" w:type="dxa"/>
            <w:vMerge w:val="restart"/>
            <w:tcBorders>
              <w:bottom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SH.HY-045-2022</w:t>
            </w: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●</w:t>
            </w: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●</w:t>
            </w: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472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547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闪点（闭口）</w:t>
            </w:r>
          </w:p>
        </w:tc>
        <w:tc>
          <w:tcPr>
            <w:tcW w:w="18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●</w:t>
            </w: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●</w:t>
            </w: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</w:trPr>
        <w:tc>
          <w:tcPr>
            <w:tcW w:w="472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547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密度（20℃)</w:t>
            </w:r>
          </w:p>
        </w:tc>
        <w:tc>
          <w:tcPr>
            <w:tcW w:w="1890" w:type="dxa"/>
            <w:vMerge w:val="continue"/>
            <w:tcBorders>
              <w:top w:val="nil"/>
            </w:tcBorders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●</w:t>
            </w: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●</w:t>
            </w:r>
          </w:p>
        </w:tc>
        <w:tc>
          <w:tcPr>
            <w:tcW w:w="964" w:type="dxa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</w:tbl>
    <w:p>
      <w:pPr>
        <w:widowControl/>
        <w:kinsoku w:val="0"/>
        <w:wordWrap/>
        <w:autoSpaceDE w:val="0"/>
        <w:autoSpaceDN w:val="0"/>
        <w:adjustRightInd w:val="0"/>
        <w:snapToGrid w:val="0"/>
        <w:spacing w:before="0" w:beforeLines="150" w:line="360" w:lineRule="auto"/>
        <w:ind w:firstLine="464" w:firstLineChars="200"/>
        <w:jc w:val="both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4"/>
          <w:sz w:val="21"/>
          <w:szCs w:val="21"/>
        </w:rPr>
        <w:t>注：执行企业标准、团体标准、地方标准的产品，检验项目参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照上述内容执行。</w:t>
      </w:r>
    </w:p>
    <w:p>
      <w:pPr>
        <w:widowControl/>
        <w:tabs>
          <w:tab w:val="left" w:pos="9040"/>
          <w:tab w:val="left" w:pos="9240"/>
        </w:tabs>
        <w:kinsoku w:val="0"/>
        <w:wordWrap/>
        <w:autoSpaceDE w:val="0"/>
        <w:autoSpaceDN w:val="0"/>
        <w:adjustRightInd w:val="0"/>
        <w:snapToGrid w:val="0"/>
        <w:spacing w:line="360" w:lineRule="auto"/>
        <w:ind w:right="33" w:firstLine="464" w:firstLineChars="20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4"/>
          <w:sz w:val="21"/>
          <w:szCs w:val="21"/>
        </w:rPr>
        <w:t>凡是注日期</w:t>
      </w:r>
      <w:bookmarkStart w:id="0" w:name="_GoBack"/>
      <w:bookmarkEnd w:id="0"/>
      <w:r>
        <w:rPr>
          <w:rFonts w:hint="eastAsia" w:ascii="宋体" w:hAnsi="宋体" w:eastAsia="宋体" w:cs="宋体"/>
          <w:spacing w:val="-4"/>
          <w:sz w:val="21"/>
          <w:szCs w:val="21"/>
        </w:rPr>
        <w:t>的文件，其随后所有的修改单（不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包括勘误的内容）或修订版不适用于本细则。凡是不注日期的文件，其最新版本适用于本细则。</w:t>
      </w:r>
    </w:p>
    <w:p>
      <w:pPr>
        <w:spacing w:line="227" w:lineRule="auto"/>
        <w:ind w:firstLine="632" w:firstLineChars="200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3"/>
          <w:sz w:val="32"/>
          <w:szCs w:val="32"/>
        </w:rPr>
        <w:t>三、判定规则</w:t>
      </w:r>
    </w:p>
    <w:p>
      <w:pPr>
        <w:spacing w:before="179" w:line="360" w:lineRule="auto"/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ascii="楷体" w:hAnsi="楷体" w:eastAsia="楷体" w:cs="楷体"/>
          <w:spacing w:val="5"/>
          <w:sz w:val="32"/>
          <w:szCs w:val="32"/>
        </w:rPr>
        <w:t>（一）依据标准</w:t>
      </w:r>
    </w:p>
    <w:p>
      <w:pPr>
        <w:pStyle w:val="2"/>
        <w:widowControl/>
        <w:kinsoku w:val="0"/>
        <w:wordWrap/>
        <w:autoSpaceDE w:val="0"/>
        <w:autoSpaceDN w:val="0"/>
        <w:adjustRightInd w:val="0"/>
        <w:snapToGrid w:val="0"/>
        <w:spacing w:line="360" w:lineRule="auto"/>
        <w:ind w:right="723" w:firstLine="930" w:firstLineChars="3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</w:t>
      </w:r>
      <w:r>
        <w:rPr>
          <w:rFonts w:hint="eastAsia" w:ascii="仿宋_GB2312" w:hAnsi="仿宋_GB2312" w:eastAsia="仿宋_GB2312" w:cs="仿宋_GB2312"/>
          <w:spacing w:val="43"/>
          <w:w w:val="101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17930-2016《车用汽油》</w:t>
      </w:r>
    </w:p>
    <w:p>
      <w:pPr>
        <w:pStyle w:val="2"/>
        <w:widowControl/>
        <w:kinsoku w:val="0"/>
        <w:wordWrap/>
        <w:autoSpaceDE w:val="0"/>
        <w:autoSpaceDN w:val="0"/>
        <w:adjustRightInd w:val="0"/>
        <w:snapToGrid w:val="0"/>
        <w:spacing w:line="360" w:lineRule="auto"/>
        <w:ind w:right="723" w:firstLine="930" w:firstLineChars="3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</w:t>
      </w:r>
      <w:r>
        <w:rPr>
          <w:rFonts w:hint="eastAsia" w:ascii="仿宋_GB2312" w:hAnsi="仿宋_GB2312" w:eastAsia="仿宋_GB2312" w:cs="仿宋_GB2312"/>
          <w:spacing w:val="43"/>
          <w:w w:val="101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19147-2016《车用柴油》</w:t>
      </w:r>
    </w:p>
    <w:p>
      <w:pPr>
        <w:pStyle w:val="2"/>
        <w:widowControl/>
        <w:kinsoku w:val="0"/>
        <w:wordWrap/>
        <w:autoSpaceDE w:val="0"/>
        <w:autoSpaceDN w:val="0"/>
        <w:adjustRightInd w:val="0"/>
        <w:snapToGrid w:val="0"/>
        <w:spacing w:line="360" w:lineRule="auto"/>
        <w:ind w:firstLine="930" w:firstLineChars="3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</w:t>
      </w:r>
      <w:r>
        <w:rPr>
          <w:rFonts w:hint="eastAsia" w:ascii="仿宋_GB2312" w:hAnsi="仿宋_GB2312" w:eastAsia="仿宋_GB2312" w:cs="仿宋_GB2312"/>
          <w:spacing w:val="53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19147-2016《车用柴油》第1号修改单</w:t>
      </w:r>
    </w:p>
    <w:p>
      <w:pPr>
        <w:pStyle w:val="2"/>
        <w:widowControl/>
        <w:kinsoku w:val="0"/>
        <w:wordWrap/>
        <w:autoSpaceDE w:val="0"/>
        <w:autoSpaceDN w:val="0"/>
        <w:adjustRightInd w:val="0"/>
        <w:snapToGrid w:val="0"/>
        <w:spacing w:line="360" w:lineRule="auto"/>
        <w:ind w:firstLine="930" w:firstLineChars="3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GB</w:t>
      </w:r>
      <w:r>
        <w:rPr>
          <w:rFonts w:hint="eastAsia" w:ascii="仿宋_GB2312" w:hAnsi="仿宋_GB2312" w:eastAsia="仿宋_GB2312" w:cs="仿宋_GB2312"/>
          <w:spacing w:val="55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17411-2015《船用燃料油》第1号修改单</w:t>
      </w:r>
    </w:p>
    <w:p>
      <w:pPr>
        <w:pStyle w:val="2"/>
        <w:widowControl/>
        <w:kinsoku w:val="0"/>
        <w:wordWrap/>
        <w:autoSpaceDE w:val="0"/>
        <w:autoSpaceDN w:val="0"/>
        <w:adjustRightInd w:val="0"/>
        <w:snapToGrid w:val="0"/>
        <w:spacing w:line="360" w:lineRule="auto"/>
        <w:ind w:right="33" w:firstLine="644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现行有效的企业标准、团体标准、地方标准及产品明示质量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要求</w:t>
      </w:r>
    </w:p>
    <w:p>
      <w:pPr>
        <w:spacing w:before="55" w:line="360" w:lineRule="auto"/>
        <w:jc w:val="both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pacing w:val="-4"/>
          <w:sz w:val="32"/>
          <w:szCs w:val="32"/>
          <w:lang w:val="en-US" w:eastAsia="zh-CN"/>
        </w:rPr>
        <w:t xml:space="preserve">    </w:t>
      </w:r>
      <w:r>
        <w:rPr>
          <w:rFonts w:ascii="楷体" w:hAnsi="楷体" w:eastAsia="楷体" w:cs="楷体"/>
          <w:spacing w:val="-4"/>
          <w:sz w:val="32"/>
          <w:szCs w:val="32"/>
        </w:rPr>
        <w:t>（二）判定原则</w:t>
      </w:r>
    </w:p>
    <w:p>
      <w:pPr>
        <w:pStyle w:val="2"/>
        <w:widowControl/>
        <w:wordWrap/>
        <w:autoSpaceDE w:val="0"/>
        <w:autoSpaceDN w:val="0"/>
        <w:adjustRightInd w:val="0"/>
        <w:snapToGrid w:val="0"/>
        <w:spacing w:line="360" w:lineRule="auto"/>
        <w:ind w:right="84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经检验，检验项目全部合格，判定为抽取的样本所检项目未检出不合格；检验项目中任一项或一项以上不合格，判定为被抽查产品疑似不合格。</w:t>
      </w:r>
    </w:p>
    <w:p>
      <w:pPr>
        <w:pStyle w:val="2"/>
        <w:widowControl/>
        <w:wordWrap/>
        <w:autoSpaceDE w:val="0"/>
        <w:autoSpaceDN w:val="0"/>
        <w:adjustRightInd w:val="0"/>
        <w:snapToGrid w:val="0"/>
        <w:spacing w:line="360" w:lineRule="auto"/>
        <w:ind w:left="31" w:right="84" w:firstLine="643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7"/>
          <w:sz w:val="32"/>
          <w:szCs w:val="32"/>
        </w:rPr>
        <w:t>当被检样品明示的质量要求优于监督抽查实施细则中依据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的标准要求时，应按被检样品明示的质量要求判定；</w:t>
      </w:r>
    </w:p>
    <w:p>
      <w:pPr>
        <w:pStyle w:val="2"/>
        <w:widowControl/>
        <w:wordWrap/>
        <w:autoSpaceDE w:val="0"/>
        <w:autoSpaceDN w:val="0"/>
        <w:adjustRightInd w:val="0"/>
        <w:snapToGrid w:val="0"/>
        <w:spacing w:line="360" w:lineRule="auto"/>
        <w:ind w:left="8" w:right="84" w:firstLine="665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7"/>
          <w:sz w:val="32"/>
          <w:szCs w:val="32"/>
        </w:rPr>
        <w:t>当被检样品明示的质量要求劣于或不包含监督抽查实施细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则中依据的强制性标准要求时，应按照强制性标准要求判定；</w:t>
      </w:r>
    </w:p>
    <w:p>
      <w:pPr>
        <w:pStyle w:val="2"/>
        <w:widowControl/>
        <w:wordWrap/>
        <w:autoSpaceDE w:val="0"/>
        <w:autoSpaceDN w:val="0"/>
        <w:adjustRightInd w:val="0"/>
        <w:snapToGrid w:val="0"/>
        <w:spacing w:line="360" w:lineRule="auto"/>
        <w:ind w:left="13" w:firstLine="661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7"/>
          <w:sz w:val="32"/>
          <w:szCs w:val="32"/>
        </w:rPr>
        <w:t>当被检样品明示的质量要求劣于或包含监督抽查实施细则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中依据的推荐性标准要求时，应以被检样品明示的质量要求判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定，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如相应检验结果不符合相关推荐性标准要求时，应在检验报告中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予以说明；</w:t>
      </w:r>
    </w:p>
    <w:p>
      <w:pPr>
        <w:pStyle w:val="2"/>
        <w:widowControl/>
        <w:wordWrap/>
        <w:autoSpaceDE w:val="0"/>
        <w:autoSpaceDN w:val="0"/>
        <w:adjustRightInd w:val="0"/>
        <w:snapToGrid w:val="0"/>
        <w:spacing w:line="360" w:lineRule="auto"/>
        <w:ind w:left="7" w:right="79" w:firstLine="667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7"/>
          <w:sz w:val="32"/>
          <w:szCs w:val="32"/>
        </w:rPr>
        <w:t>当被检样品明示的质量要求不包含监督抽查实施细则中依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据的推荐性标准要求时，该指标不参与判定，但应在检验报告中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作出说明；</w:t>
      </w:r>
    </w:p>
    <w:p>
      <w:pPr>
        <w:pStyle w:val="2"/>
        <w:widowControl/>
        <w:wordWrap/>
        <w:autoSpaceDE w:val="0"/>
        <w:autoSpaceDN w:val="0"/>
        <w:adjustRightInd w:val="0"/>
        <w:snapToGrid w:val="0"/>
        <w:spacing w:line="360" w:lineRule="auto"/>
        <w:ind w:left="1" w:right="83" w:firstLine="673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当被检样品未能提供有效的企业标准时，按相关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国家或行业标准进行判定；</w:t>
      </w:r>
    </w:p>
    <w:p>
      <w:pPr>
        <w:pStyle w:val="2"/>
        <w:widowControl/>
        <w:wordWrap/>
        <w:autoSpaceDE w:val="0"/>
        <w:autoSpaceDN w:val="0"/>
        <w:adjustRightInd w:val="0"/>
        <w:snapToGrid w:val="0"/>
        <w:spacing w:line="360" w:lineRule="auto"/>
        <w:ind w:left="3" w:right="79" w:firstLine="671"/>
        <w:textAlignment w:val="baseline"/>
        <w:rPr>
          <w:rFonts w:hint="eastAsia" w:ascii="仿宋_GB2312" w:hAnsi="仿宋_GB2312" w:eastAsia="仿宋_GB2312" w:cs="仿宋_GB2312"/>
          <w:spacing w:val="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7"/>
          <w:sz w:val="32"/>
          <w:szCs w:val="32"/>
        </w:rPr>
        <w:t>当被检样品标签标识中执行标准信息和产品类别信息不明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或有误，影响检测和判定时，可根据相关强制性标准要求，同时结合产品特点等信息判断和选择相关标准进行检验，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并应在检验报告中作出相关说明；</w:t>
      </w:r>
    </w:p>
    <w:p>
      <w:pPr>
        <w:pStyle w:val="2"/>
        <w:widowControl/>
        <w:wordWrap/>
        <w:autoSpaceDE w:val="0"/>
        <w:autoSpaceDN w:val="0"/>
        <w:adjustRightInd w:val="0"/>
        <w:snapToGrid w:val="0"/>
        <w:spacing w:line="360" w:lineRule="auto"/>
        <w:ind w:left="3" w:right="79" w:firstLine="671"/>
        <w:textAlignment w:val="baseline"/>
        <w:rPr>
          <w:rFonts w:hint="eastAsia" w:ascii="仿宋_GB2312" w:hAnsi="仿宋_GB2312" w:eastAsia="仿宋_GB2312" w:cs="仿宋_GB2312"/>
          <w:spacing w:val="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按照产品质量相关法律法规的规定判定。</w:t>
      </w:r>
    </w:p>
    <w:p>
      <w:pPr>
        <w:pStyle w:val="2"/>
        <w:widowControl/>
        <w:wordWrap/>
        <w:autoSpaceDE w:val="0"/>
        <w:autoSpaceDN w:val="0"/>
        <w:adjustRightInd w:val="0"/>
        <w:snapToGrid w:val="0"/>
        <w:spacing w:line="360" w:lineRule="auto"/>
        <w:ind w:right="79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检验中发现因样品失效或者其他原因致使检验无法进行的，检验人员应如实记录，并提供相关证明材料，报送组织监督抽查的市场监管部门。</w:t>
      </w:r>
    </w:p>
    <w:sectPr>
      <w:footerReference r:id="rId4" w:type="default"/>
      <w:pgSz w:w="11907" w:h="16840"/>
      <w:pgMar w:top="1417" w:right="1417" w:bottom="1417" w:left="1417" w:header="0" w:footer="1169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spacing w:before="1" w:line="176" w:lineRule="auto"/>
      <w:ind w:left="7351"/>
      <w:rPr>
        <w:rFonts w:ascii="宋体" w:hAnsi="宋体" w:eastAsia="宋体" w:cs="宋体"/>
        <w:sz w:val="28"/>
        <w:szCs w:val="28"/>
      </w:rPr>
    </w:pPr>
    <w:r>
      <w:rPr>
        <w:rFonts w:ascii="Arial" w:hAnsi="Arial" w:eastAsia="Arial" w:cs="Arial"/>
        <w:snapToGrid w:val="0"/>
        <w:color w:val="000000"/>
        <w:kern w:val="0"/>
        <w:sz w:val="28"/>
        <w:szCs w:val="21"/>
        <w:lang w:val="en-US" w:eastAsia="en-US" w:bidi="ar-SA"/>
      </w:rPr>
      <w:pict>
        <v:rect id="文本框 8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14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 w:val="1"/>
  <w:displayBackgroundShape w:val="1"/>
  <w:bordersDoNotSurroundHeader w:val="1"/>
  <w:bordersDoNotSurroundFooter w:val="1"/>
  <w:documentProtection w:enforcement="0"/>
  <w:defaultTabStop w:val="420"/>
  <w:displayHorizontalDrawingGridEvery w:val="0"/>
  <w:displayVerticalDrawingGridEvery w:val="2"/>
  <w:characterSpacingControl w:val="doNotCompress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YjAzOWQ4ZTFkYTY0OWE1YjljODU0ZWFkMTRiNmM2YTkifQ=="/>
  </w:docVars>
  <w:rsids>
    <w:rsidRoot w:val="00000000"/>
    <w:rsid w:val="001F3B40"/>
    <w:rsid w:val="00806038"/>
    <w:rsid w:val="09BF29BD"/>
    <w:rsid w:val="0BD76985"/>
    <w:rsid w:val="196E7E92"/>
    <w:rsid w:val="2E3503C1"/>
    <w:rsid w:val="2E8D54E2"/>
    <w:rsid w:val="41764EE7"/>
    <w:rsid w:val="43CD270A"/>
    <w:rsid w:val="46C10B39"/>
    <w:rsid w:val="50E025B0"/>
    <w:rsid w:val="567D5D64"/>
    <w:rsid w:val="59106D7F"/>
    <w:rsid w:val="747D585B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iPriority w:val="0"/>
    <w:rPr>
      <w:sz w:val="24"/>
    </w:rPr>
  </w:style>
  <w:style w:type="paragraph" w:customStyle="1" w:styleId="8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9">
    <w:name w:val="Table Normal"/>
    <w:basedOn w:val="7"/>
    <w:unhideWhenUsed/>
    <w:qFormat/>
    <w:uiPriority w:val="0"/>
    <w:pPr/>
    <w:tblPr>
      <w:tblStyle w:val="7"/>
      <w:tblLayout w:type="fixed"/>
      <w:tblCellMar>
        <w:top w:w="0" w:type="dxa"/>
        <w:left w:w="0" w:type="dxa"/>
        <w:bottom w:w="0" w:type="dxa"/>
        <w:right w:w="0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15</Pages>
  <Words>4769</Words>
  <Characters>5738</Characters>
  <Lines>1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2024-06-05T11:27:00Z</dcterms:created>
  <dc:creator>王志明</dc:creator>
  <cp:lastModifiedBy>杨艳华</cp:lastModifiedBy>
  <dcterms:modified xsi:type="dcterms:W3CDTF">2024-06-12T08:47:09Z</dcterms:modified>
  <dc:title>附件 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2024-06-05T11:53:00Z</vt:filetime>
  </property>
  <property fmtid="{D5CDD505-2E9C-101B-9397-08002B2CF9AE}" pid="4" name="KSOProductBuildVer">
    <vt:lpwstr>2052-9.1.0.4940</vt:lpwstr>
  </property>
  <property fmtid="{D5CDD505-2E9C-101B-9397-08002B2CF9AE}" pid="5" name="ICV">
    <vt:lpwstr>08BF6F8CFF5F4C1FB9FB779CB2F5DA54_12</vt:lpwstr>
  </property>
</Properties>
</file>