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line="600" w:lineRule="exact"/>
        <w:jc w:val="both"/>
        <w:rPr>
          <w:rFonts w:hint="eastAsia" w:ascii="宋体" w:hAnsi="宋体" w:eastAsia="宋体" w:cs="宋体"/>
          <w:bCs/>
          <w:color w:val="000000"/>
          <w:spacing w:val="-6"/>
          <w:sz w:val="21"/>
          <w:szCs w:val="21"/>
          <w:lang w:val="en-US" w:eastAsia="zh-CN"/>
        </w:rPr>
      </w:pPr>
      <w:r>
        <w:rPr>
          <w:rFonts w:hint="eastAsia" w:ascii="宋体" w:hAnsi="宋体" w:eastAsia="宋体" w:cs="宋体"/>
          <w:bCs/>
          <w:color w:val="000000"/>
          <w:spacing w:val="-6"/>
          <w:sz w:val="21"/>
          <w:szCs w:val="21"/>
          <w:lang w:val="en-US" w:eastAsia="zh-CN"/>
        </w:rPr>
        <w:t>附件9</w:t>
      </w:r>
    </w:p>
    <w:p>
      <w:pPr>
        <w:widowControl/>
        <w:spacing w:line="600" w:lineRule="exact"/>
        <w:jc w:val="center"/>
        <w:rPr>
          <w:rFonts w:eastAsia="方正小标宋简体"/>
          <w:bCs/>
          <w:color w:val="000000"/>
          <w:spacing w:val="-6"/>
          <w:sz w:val="44"/>
          <w:szCs w:val="44"/>
        </w:rPr>
      </w:pPr>
      <w:r>
        <w:rPr>
          <w:rFonts w:hint="eastAsia" w:eastAsia="方正小标宋简体"/>
          <w:bCs/>
          <w:color w:val="000000"/>
          <w:spacing w:val="-6"/>
          <w:sz w:val="44"/>
          <w:szCs w:val="44"/>
        </w:rPr>
        <w:t>清远市市场监督管理局人造板</w:t>
      </w:r>
      <w:r>
        <w:rPr>
          <w:rFonts w:eastAsia="方正小标宋简体"/>
          <w:bCs/>
          <w:color w:val="000000"/>
          <w:spacing w:val="-6"/>
          <w:sz w:val="44"/>
          <w:szCs w:val="44"/>
        </w:rPr>
        <w:t>产品质量监督抽查实施细则（</w:t>
      </w:r>
      <w:r>
        <w:rPr>
          <w:rFonts w:hint="eastAsia" w:eastAsia="方正小标宋简体"/>
          <w:bCs/>
          <w:color w:val="000000"/>
          <w:spacing w:val="-6"/>
          <w:sz w:val="44"/>
          <w:szCs w:val="44"/>
        </w:rPr>
        <w:t>2024年</w:t>
      </w:r>
      <w:r>
        <w:rPr>
          <w:rFonts w:eastAsia="方正小标宋简体"/>
          <w:bCs/>
          <w:color w:val="000000"/>
          <w:spacing w:val="-6"/>
          <w:sz w:val="44"/>
          <w:szCs w:val="44"/>
        </w:rPr>
        <w:t>）</w:t>
      </w:r>
    </w:p>
    <w:p>
      <w:pPr>
        <w:spacing w:line="600" w:lineRule="exact"/>
        <w:ind w:firstLine="856" w:firstLineChars="200"/>
        <w:rPr>
          <w:rFonts w:eastAsia="方正小标宋简体"/>
          <w:color w:val="000000"/>
          <w:spacing w:val="-6"/>
          <w:sz w:val="44"/>
          <w:szCs w:val="44"/>
        </w:rPr>
      </w:pPr>
    </w:p>
    <w:p>
      <w:pPr>
        <w:spacing w:line="600" w:lineRule="exact"/>
        <w:ind w:firstLine="616" w:firstLineChars="200"/>
        <w:rPr>
          <w:rFonts w:eastAsia="黑体"/>
          <w:color w:val="000000"/>
          <w:spacing w:val="-6"/>
          <w:szCs w:val="32"/>
        </w:rPr>
      </w:pPr>
      <w:r>
        <w:rPr>
          <w:rFonts w:eastAsia="黑体"/>
          <w:color w:val="000000"/>
          <w:spacing w:val="-6"/>
          <w:szCs w:val="32"/>
        </w:rPr>
        <w:t>一、抽样方法</w:t>
      </w:r>
    </w:p>
    <w:p>
      <w:pPr>
        <w:spacing w:line="600" w:lineRule="exact"/>
        <w:ind w:firstLine="616" w:firstLineChars="200"/>
        <w:rPr>
          <w:rFonts w:cs="仿宋_GB2312"/>
          <w:color w:val="000000"/>
          <w:spacing w:val="-6"/>
          <w:szCs w:val="32"/>
        </w:rPr>
      </w:pPr>
      <w:r>
        <w:rPr>
          <w:rFonts w:hint="eastAsia" w:cs="仿宋_GB2312"/>
          <w:color w:val="000000"/>
          <w:spacing w:val="-6"/>
          <w:kern w:val="0"/>
          <w:szCs w:val="32"/>
        </w:rPr>
        <w:t>以随机抽样的方式在被抽查市场主体的待销产品中抽取。</w:t>
      </w:r>
    </w:p>
    <w:p>
      <w:pPr>
        <w:widowControl/>
        <w:spacing w:line="600" w:lineRule="exact"/>
        <w:ind w:firstLine="616" w:firstLineChars="200"/>
        <w:rPr>
          <w:rFonts w:cs="仿宋_GB2312"/>
          <w:color w:val="000000"/>
          <w:spacing w:val="-6"/>
          <w:szCs w:val="32"/>
        </w:rPr>
      </w:pPr>
      <w:r>
        <w:rPr>
          <w:rFonts w:hint="eastAsia" w:cs="仿宋_GB2312"/>
          <w:color w:val="000000"/>
          <w:spacing w:val="-6"/>
          <w:kern w:val="0"/>
          <w:szCs w:val="32"/>
        </w:rPr>
        <w:t>随机数一般可使用随机数表等方法产生。</w:t>
      </w:r>
    </w:p>
    <w:p>
      <w:pPr>
        <w:widowControl/>
        <w:spacing w:line="600" w:lineRule="exact"/>
        <w:ind w:firstLine="616" w:firstLineChars="200"/>
        <w:rPr>
          <w:rFonts w:cs="仿宋_GB2312"/>
          <w:color w:val="000000"/>
          <w:spacing w:val="-6"/>
          <w:kern w:val="0"/>
          <w:szCs w:val="32"/>
        </w:rPr>
      </w:pPr>
      <w:r>
        <w:rPr>
          <w:rFonts w:hint="eastAsia" w:cs="仿宋_GB2312"/>
          <w:color w:val="000000"/>
          <w:spacing w:val="-6"/>
          <w:szCs w:val="32"/>
        </w:rPr>
        <w:t>每款产品抽取2组样本，第1组用于检验，第2组用于备样。</w:t>
      </w:r>
      <w:r>
        <w:rPr>
          <w:rFonts w:hint="eastAsia" w:cs="仿宋_GB2312"/>
          <w:color w:val="000000"/>
          <w:spacing w:val="-6"/>
          <w:kern w:val="0"/>
          <w:szCs w:val="32"/>
        </w:rPr>
        <w:t>具体抽样数量和方法如下：</w:t>
      </w:r>
    </w:p>
    <w:tbl>
      <w:tblPr>
        <w:tblStyle w:val="6"/>
        <w:tblW w:w="8695" w:type="dxa"/>
        <w:jc w:val="center"/>
        <w:tblInd w:w="-1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3918"/>
        <w:gridCol w:w="1151"/>
        <w:gridCol w:w="1475"/>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jc w:val="center"/>
        </w:trPr>
        <w:tc>
          <w:tcPr>
            <w:tcW w:w="672" w:type="dxa"/>
            <w:vMerge w:val="restart"/>
            <w:vAlign w:val="center"/>
          </w:tcPr>
          <w:p>
            <w:pPr>
              <w:adjustRightInd w:val="0"/>
              <w:snapToGrid w:val="0"/>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序号</w:t>
            </w:r>
          </w:p>
        </w:tc>
        <w:tc>
          <w:tcPr>
            <w:tcW w:w="3918" w:type="dxa"/>
            <w:vMerge w:val="restart"/>
            <w:vAlign w:val="center"/>
          </w:tcPr>
          <w:p>
            <w:pPr>
              <w:adjustRightInd w:val="0"/>
              <w:snapToGrid w:val="0"/>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产品名称</w:t>
            </w:r>
          </w:p>
        </w:tc>
        <w:tc>
          <w:tcPr>
            <w:tcW w:w="2626" w:type="dxa"/>
            <w:gridSpan w:val="2"/>
            <w:vAlign w:val="center"/>
          </w:tcPr>
          <w:p>
            <w:pPr>
              <w:adjustRightInd w:val="0"/>
              <w:snapToGrid w:val="0"/>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第1组数量</w:t>
            </w:r>
          </w:p>
        </w:tc>
        <w:tc>
          <w:tcPr>
            <w:tcW w:w="1479" w:type="dxa"/>
            <w:vMerge w:val="restart"/>
            <w:vAlign w:val="center"/>
          </w:tcPr>
          <w:p>
            <w:pPr>
              <w:adjustRightInd w:val="0"/>
              <w:snapToGrid w:val="0"/>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8" w:hRule="atLeast"/>
          <w:jc w:val="center"/>
        </w:trPr>
        <w:tc>
          <w:tcPr>
            <w:tcW w:w="672" w:type="dxa"/>
            <w:vMerge w:val="continue"/>
            <w:vAlign w:val="center"/>
          </w:tcPr>
          <w:p>
            <w:pPr>
              <w:adjustRightInd w:val="0"/>
              <w:snapToGrid w:val="0"/>
              <w:spacing w:line="240" w:lineRule="auto"/>
              <w:jc w:val="center"/>
              <w:rPr>
                <w:rFonts w:hint="eastAsia" w:ascii="宋体" w:hAnsi="宋体" w:eastAsia="宋体" w:cs="宋体"/>
                <w:color w:val="000000"/>
                <w:spacing w:val="-6"/>
                <w:sz w:val="21"/>
                <w:szCs w:val="21"/>
              </w:rPr>
            </w:pPr>
          </w:p>
        </w:tc>
        <w:tc>
          <w:tcPr>
            <w:tcW w:w="3918" w:type="dxa"/>
            <w:vMerge w:val="continue"/>
            <w:vAlign w:val="center"/>
          </w:tcPr>
          <w:p>
            <w:pPr>
              <w:adjustRightInd w:val="0"/>
              <w:snapToGrid w:val="0"/>
              <w:spacing w:line="240" w:lineRule="auto"/>
              <w:jc w:val="center"/>
              <w:rPr>
                <w:rFonts w:hint="eastAsia" w:ascii="宋体" w:hAnsi="宋体" w:eastAsia="宋体" w:cs="宋体"/>
                <w:color w:val="000000"/>
                <w:spacing w:val="-6"/>
                <w:sz w:val="21"/>
                <w:szCs w:val="21"/>
              </w:rPr>
            </w:pPr>
          </w:p>
        </w:tc>
        <w:tc>
          <w:tcPr>
            <w:tcW w:w="1151" w:type="dxa"/>
            <w:vAlign w:val="center"/>
          </w:tcPr>
          <w:p>
            <w:pPr>
              <w:adjustRightInd w:val="0"/>
              <w:snapToGrid w:val="0"/>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初检</w:t>
            </w:r>
          </w:p>
        </w:tc>
        <w:tc>
          <w:tcPr>
            <w:tcW w:w="1475" w:type="dxa"/>
            <w:vAlign w:val="center"/>
          </w:tcPr>
          <w:p>
            <w:pPr>
              <w:adjustRightInd w:val="0"/>
              <w:snapToGrid w:val="0"/>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复验</w:t>
            </w:r>
          </w:p>
        </w:tc>
        <w:tc>
          <w:tcPr>
            <w:tcW w:w="1479" w:type="dxa"/>
            <w:vMerge w:val="continue"/>
            <w:vAlign w:val="center"/>
          </w:tcPr>
          <w:p>
            <w:pPr>
              <w:adjustRightInd w:val="0"/>
              <w:snapToGrid w:val="0"/>
              <w:spacing w:line="240" w:lineRule="auto"/>
              <w:jc w:val="center"/>
              <w:rPr>
                <w:rFonts w:hint="eastAsia" w:ascii="宋体" w:hAnsi="宋体" w:eastAsia="宋体" w:cs="宋体"/>
                <w:color w:val="000000"/>
                <w:spacing w:val="-6"/>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5" w:hRule="atLeast"/>
          <w:jc w:val="center"/>
        </w:trPr>
        <w:tc>
          <w:tcPr>
            <w:tcW w:w="672" w:type="dxa"/>
            <w:vAlign w:val="center"/>
          </w:tcPr>
          <w:p>
            <w:pPr>
              <w:adjustRightInd w:val="0"/>
              <w:snapToGrid w:val="0"/>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1</w:t>
            </w:r>
          </w:p>
        </w:tc>
        <w:tc>
          <w:tcPr>
            <w:tcW w:w="3918" w:type="dxa"/>
            <w:vAlign w:val="center"/>
          </w:tcPr>
          <w:p>
            <w:pPr>
              <w:adjustRightInd w:val="0"/>
              <w:snapToGrid w:val="0"/>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普通胶合板</w:t>
            </w:r>
          </w:p>
        </w:tc>
        <w:tc>
          <w:tcPr>
            <w:tcW w:w="1151" w:type="dxa"/>
            <w:vAlign w:val="center"/>
          </w:tcPr>
          <w:p>
            <w:pPr>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1张</w:t>
            </w:r>
          </w:p>
        </w:tc>
        <w:tc>
          <w:tcPr>
            <w:tcW w:w="1475" w:type="dxa"/>
            <w:vAlign w:val="center"/>
          </w:tcPr>
          <w:p>
            <w:pPr>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2张</w:t>
            </w:r>
          </w:p>
        </w:tc>
        <w:tc>
          <w:tcPr>
            <w:tcW w:w="1479" w:type="dxa"/>
            <w:vAlign w:val="center"/>
          </w:tcPr>
          <w:p>
            <w:pPr>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2张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5" w:hRule="atLeast"/>
          <w:jc w:val="center"/>
        </w:trPr>
        <w:tc>
          <w:tcPr>
            <w:tcW w:w="672" w:type="dxa"/>
            <w:vAlign w:val="center"/>
          </w:tcPr>
          <w:p>
            <w:pPr>
              <w:adjustRightInd w:val="0"/>
              <w:snapToGrid w:val="0"/>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2</w:t>
            </w:r>
          </w:p>
        </w:tc>
        <w:tc>
          <w:tcPr>
            <w:tcW w:w="3918" w:type="dxa"/>
            <w:vAlign w:val="center"/>
          </w:tcPr>
          <w:p>
            <w:pPr>
              <w:adjustRightInd w:val="0"/>
              <w:snapToGrid w:val="0"/>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细木工板</w:t>
            </w:r>
          </w:p>
        </w:tc>
        <w:tc>
          <w:tcPr>
            <w:tcW w:w="1151" w:type="dxa"/>
            <w:vAlign w:val="center"/>
          </w:tcPr>
          <w:p>
            <w:pPr>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1张</w:t>
            </w:r>
          </w:p>
        </w:tc>
        <w:tc>
          <w:tcPr>
            <w:tcW w:w="1475" w:type="dxa"/>
            <w:vAlign w:val="center"/>
          </w:tcPr>
          <w:p>
            <w:pPr>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2张</w:t>
            </w:r>
          </w:p>
        </w:tc>
        <w:tc>
          <w:tcPr>
            <w:tcW w:w="1479" w:type="dxa"/>
            <w:vAlign w:val="center"/>
          </w:tcPr>
          <w:p>
            <w:pPr>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2张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672" w:type="dxa"/>
            <w:vAlign w:val="center"/>
          </w:tcPr>
          <w:p>
            <w:pPr>
              <w:adjustRightInd w:val="0"/>
              <w:snapToGrid w:val="0"/>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3</w:t>
            </w:r>
          </w:p>
        </w:tc>
        <w:tc>
          <w:tcPr>
            <w:tcW w:w="3918" w:type="dxa"/>
            <w:vAlign w:val="center"/>
          </w:tcPr>
          <w:p>
            <w:pPr>
              <w:adjustRightInd w:val="0"/>
              <w:snapToGrid w:val="0"/>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刨花板</w:t>
            </w:r>
          </w:p>
        </w:tc>
        <w:tc>
          <w:tcPr>
            <w:tcW w:w="1151" w:type="dxa"/>
            <w:vAlign w:val="center"/>
          </w:tcPr>
          <w:p>
            <w:pPr>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1张</w:t>
            </w:r>
          </w:p>
        </w:tc>
        <w:tc>
          <w:tcPr>
            <w:tcW w:w="1475" w:type="dxa"/>
            <w:vAlign w:val="center"/>
          </w:tcPr>
          <w:p>
            <w:pPr>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2张</w:t>
            </w:r>
          </w:p>
        </w:tc>
        <w:tc>
          <w:tcPr>
            <w:tcW w:w="1479" w:type="dxa"/>
            <w:vAlign w:val="center"/>
          </w:tcPr>
          <w:p>
            <w:pPr>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2张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5" w:hRule="atLeast"/>
          <w:jc w:val="center"/>
        </w:trPr>
        <w:tc>
          <w:tcPr>
            <w:tcW w:w="672" w:type="dxa"/>
            <w:vAlign w:val="center"/>
          </w:tcPr>
          <w:p>
            <w:pPr>
              <w:adjustRightInd w:val="0"/>
              <w:snapToGrid w:val="0"/>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4</w:t>
            </w:r>
          </w:p>
        </w:tc>
        <w:tc>
          <w:tcPr>
            <w:tcW w:w="3918" w:type="dxa"/>
            <w:vAlign w:val="center"/>
          </w:tcPr>
          <w:p>
            <w:pPr>
              <w:adjustRightInd w:val="0"/>
              <w:snapToGrid w:val="0"/>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中密度纤维板</w:t>
            </w:r>
          </w:p>
        </w:tc>
        <w:tc>
          <w:tcPr>
            <w:tcW w:w="1151" w:type="dxa"/>
            <w:vAlign w:val="center"/>
          </w:tcPr>
          <w:p>
            <w:pPr>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1张</w:t>
            </w:r>
          </w:p>
        </w:tc>
        <w:tc>
          <w:tcPr>
            <w:tcW w:w="1475" w:type="dxa"/>
            <w:vAlign w:val="center"/>
          </w:tcPr>
          <w:p>
            <w:pPr>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2张</w:t>
            </w:r>
          </w:p>
        </w:tc>
        <w:tc>
          <w:tcPr>
            <w:tcW w:w="1479" w:type="dxa"/>
            <w:vAlign w:val="center"/>
          </w:tcPr>
          <w:p>
            <w:pPr>
              <w:spacing w:line="240" w:lineRule="auto"/>
              <w:jc w:val="center"/>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2张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9" w:hRule="atLeast"/>
          <w:jc w:val="center"/>
        </w:trPr>
        <w:tc>
          <w:tcPr>
            <w:tcW w:w="8695" w:type="dxa"/>
            <w:gridSpan w:val="5"/>
            <w:vAlign w:val="center"/>
          </w:tcPr>
          <w:p>
            <w:pPr>
              <w:adjustRightInd w:val="0"/>
              <w:snapToGrid w:val="0"/>
              <w:spacing w:line="240" w:lineRule="auto"/>
              <w:rPr>
                <w:rFonts w:hint="eastAsia" w:ascii="宋体" w:hAnsi="宋体" w:eastAsia="宋体" w:cs="宋体"/>
                <w:color w:val="000000"/>
                <w:spacing w:val="-6"/>
                <w:kern w:val="0"/>
                <w:sz w:val="21"/>
                <w:szCs w:val="21"/>
              </w:rPr>
            </w:pPr>
            <w:r>
              <w:rPr>
                <w:rFonts w:hint="eastAsia" w:ascii="宋体" w:hAnsi="宋体" w:eastAsia="宋体" w:cs="宋体"/>
                <w:color w:val="000000"/>
                <w:spacing w:val="-6"/>
                <w:sz w:val="21"/>
                <w:szCs w:val="21"/>
              </w:rPr>
              <w:t>注：可将整张样品垂直于长度方向锯制成n等份以便运输（为保障样品制样能满足GB/T 9846-2015、GB/T 5849-2016、GB/T 4897-2015、GB/T 11718-2009（2021）、和GB 18580-2017的试件制备要求，n一般取3，如2440mm×1220mm的整张样品可锯制为约813mm×600mm的3等份）。每份初检、复验和备用样品应标注其正反面，并按其在原整张样品中的位置（左、中、右）依次标明初检样品编号为1-1、1-2、…、1-n，第一张复验样品编号为2-1、2-2、…、2-n，第二张复验样品编号为3-1、3-2、…、3-n，第一张备用样品编号为4-1、4-2、…、4-n，第二张备用样品编号为5-1、5-2、…、5-n，。</w:t>
            </w:r>
          </w:p>
        </w:tc>
      </w:tr>
    </w:tbl>
    <w:p>
      <w:pPr>
        <w:spacing w:line="600" w:lineRule="exact"/>
        <w:ind w:firstLine="616" w:firstLineChars="200"/>
        <w:rPr>
          <w:rFonts w:eastAsia="黑体"/>
          <w:color w:val="000000"/>
          <w:spacing w:val="-6"/>
          <w:szCs w:val="32"/>
        </w:rPr>
      </w:pPr>
      <w:r>
        <w:rPr>
          <w:rFonts w:eastAsia="黑体"/>
          <w:color w:val="000000"/>
          <w:spacing w:val="-6"/>
          <w:szCs w:val="32"/>
        </w:rPr>
        <w:t>二、主要检验项目及检验项目属性划分</w:t>
      </w:r>
    </w:p>
    <w:p>
      <w:pPr>
        <w:spacing w:line="600" w:lineRule="exact"/>
        <w:ind w:firstLine="616" w:firstLineChars="200"/>
        <w:rPr>
          <w:rFonts w:eastAsia="楷体_GB2312" w:cs="楷体_GB2312"/>
          <w:color w:val="000000"/>
          <w:spacing w:val="-6"/>
          <w:szCs w:val="32"/>
        </w:rPr>
      </w:pPr>
      <w:r>
        <w:rPr>
          <w:rFonts w:hint="eastAsia" w:eastAsia="楷体_GB2312" w:cs="楷体_GB2312"/>
          <w:color w:val="000000"/>
          <w:spacing w:val="-6"/>
          <w:szCs w:val="32"/>
        </w:rPr>
        <w:t>（一）普通胶合板</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8"/>
        <w:gridCol w:w="1656"/>
        <w:gridCol w:w="2388"/>
        <w:gridCol w:w="687"/>
        <w:gridCol w:w="844"/>
        <w:gridCol w:w="792"/>
        <w:gridCol w:w="781"/>
        <w:gridCol w:w="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618"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序号</w:t>
            </w:r>
          </w:p>
        </w:tc>
        <w:tc>
          <w:tcPr>
            <w:tcW w:w="165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检验项目</w:t>
            </w:r>
          </w:p>
        </w:tc>
        <w:tc>
          <w:tcPr>
            <w:tcW w:w="2388"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检验方法</w:t>
            </w:r>
          </w:p>
        </w:tc>
        <w:tc>
          <w:tcPr>
            <w:tcW w:w="687"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强</w:t>
            </w:r>
          </w:p>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制</w:t>
            </w:r>
          </w:p>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性</w:t>
            </w:r>
          </w:p>
        </w:tc>
        <w:tc>
          <w:tcPr>
            <w:tcW w:w="844"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非强</w:t>
            </w:r>
          </w:p>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制性</w:t>
            </w:r>
          </w:p>
        </w:tc>
        <w:tc>
          <w:tcPr>
            <w:tcW w:w="792"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重</w:t>
            </w:r>
          </w:p>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要</w:t>
            </w:r>
          </w:p>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项</w:t>
            </w:r>
          </w:p>
        </w:tc>
        <w:tc>
          <w:tcPr>
            <w:tcW w:w="781"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较重</w:t>
            </w:r>
          </w:p>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要项</w:t>
            </w:r>
          </w:p>
        </w:tc>
        <w:tc>
          <w:tcPr>
            <w:tcW w:w="756" w:type="dxa"/>
            <w:tcBorders>
              <w:top w:val="single" w:color="auto" w:sz="4" w:space="0"/>
              <w:left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次</w:t>
            </w:r>
          </w:p>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要</w:t>
            </w:r>
          </w:p>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18"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1</w:t>
            </w:r>
          </w:p>
        </w:tc>
        <w:tc>
          <w:tcPr>
            <w:tcW w:w="1656"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含水率</w:t>
            </w:r>
          </w:p>
        </w:tc>
        <w:tc>
          <w:tcPr>
            <w:tcW w:w="2388"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GB/T 9846-2015</w:t>
            </w:r>
          </w:p>
        </w:tc>
        <w:tc>
          <w:tcPr>
            <w:tcW w:w="687" w:type="dxa"/>
            <w:vAlign w:val="center"/>
          </w:tcPr>
          <w:p>
            <w:pPr>
              <w:spacing w:line="240" w:lineRule="auto"/>
              <w:jc w:val="center"/>
              <w:rPr>
                <w:rFonts w:hint="eastAsia" w:ascii="宋体" w:hAnsi="宋体" w:eastAsia="宋体" w:cs="宋体"/>
                <w:color w:val="000000"/>
                <w:spacing w:val="-6"/>
                <w:kern w:val="0"/>
                <w:sz w:val="21"/>
                <w:szCs w:val="21"/>
              </w:rPr>
            </w:pPr>
          </w:p>
        </w:tc>
        <w:tc>
          <w:tcPr>
            <w:tcW w:w="844"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92" w:type="dxa"/>
            <w:vAlign w:val="center"/>
          </w:tcPr>
          <w:p>
            <w:pPr>
              <w:spacing w:line="240" w:lineRule="auto"/>
              <w:jc w:val="center"/>
              <w:rPr>
                <w:rFonts w:hint="eastAsia" w:ascii="宋体" w:hAnsi="宋体" w:eastAsia="宋体" w:cs="宋体"/>
                <w:color w:val="000000"/>
                <w:spacing w:val="-6"/>
                <w:kern w:val="0"/>
                <w:sz w:val="21"/>
                <w:szCs w:val="21"/>
              </w:rPr>
            </w:pPr>
          </w:p>
        </w:tc>
        <w:tc>
          <w:tcPr>
            <w:tcW w:w="781"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56" w:type="dxa"/>
            <w:vAlign w:val="center"/>
          </w:tcPr>
          <w:p>
            <w:pPr>
              <w:spacing w:line="240" w:lineRule="auto"/>
              <w:jc w:val="center"/>
              <w:rPr>
                <w:rFonts w:hint="eastAsia" w:ascii="宋体" w:hAnsi="宋体" w:eastAsia="宋体" w:cs="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18"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2</w:t>
            </w:r>
          </w:p>
        </w:tc>
        <w:tc>
          <w:tcPr>
            <w:tcW w:w="1656"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胶合强度</w:t>
            </w:r>
          </w:p>
        </w:tc>
        <w:tc>
          <w:tcPr>
            <w:tcW w:w="2388"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GB/T 9846-2015</w:t>
            </w:r>
          </w:p>
        </w:tc>
        <w:tc>
          <w:tcPr>
            <w:tcW w:w="687" w:type="dxa"/>
            <w:vAlign w:val="center"/>
          </w:tcPr>
          <w:p>
            <w:pPr>
              <w:spacing w:line="240" w:lineRule="auto"/>
              <w:jc w:val="center"/>
              <w:rPr>
                <w:rFonts w:hint="eastAsia" w:ascii="宋体" w:hAnsi="宋体" w:eastAsia="宋体" w:cs="宋体"/>
                <w:color w:val="000000"/>
                <w:spacing w:val="-6"/>
                <w:kern w:val="0"/>
                <w:sz w:val="21"/>
                <w:szCs w:val="21"/>
              </w:rPr>
            </w:pPr>
          </w:p>
        </w:tc>
        <w:tc>
          <w:tcPr>
            <w:tcW w:w="844"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92" w:type="dxa"/>
            <w:vAlign w:val="center"/>
          </w:tcPr>
          <w:p>
            <w:pPr>
              <w:spacing w:line="240" w:lineRule="auto"/>
              <w:jc w:val="center"/>
              <w:rPr>
                <w:rFonts w:hint="eastAsia" w:ascii="宋体" w:hAnsi="宋体" w:eastAsia="宋体" w:cs="宋体"/>
                <w:color w:val="000000"/>
                <w:spacing w:val="-6"/>
                <w:kern w:val="0"/>
                <w:sz w:val="21"/>
                <w:szCs w:val="21"/>
              </w:rPr>
            </w:pPr>
          </w:p>
        </w:tc>
        <w:tc>
          <w:tcPr>
            <w:tcW w:w="781"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56" w:type="dxa"/>
            <w:vAlign w:val="center"/>
          </w:tcPr>
          <w:p>
            <w:pPr>
              <w:spacing w:line="240" w:lineRule="auto"/>
              <w:jc w:val="center"/>
              <w:rPr>
                <w:rFonts w:hint="eastAsia" w:ascii="宋体" w:hAnsi="宋体" w:eastAsia="宋体" w:cs="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18"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3</w:t>
            </w:r>
          </w:p>
        </w:tc>
        <w:tc>
          <w:tcPr>
            <w:tcW w:w="1656"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浸渍剥离</w:t>
            </w:r>
            <w:r>
              <w:rPr>
                <w:rFonts w:hint="eastAsia" w:ascii="宋体" w:hAnsi="宋体" w:eastAsia="宋体" w:cs="宋体"/>
                <w:color w:val="000000"/>
                <w:spacing w:val="-6"/>
                <w:kern w:val="0"/>
                <w:sz w:val="21"/>
                <w:szCs w:val="21"/>
                <w:vertAlign w:val="superscript"/>
              </w:rPr>
              <w:t>a</w:t>
            </w:r>
          </w:p>
        </w:tc>
        <w:tc>
          <w:tcPr>
            <w:tcW w:w="2388"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GB/T 9846-2015</w:t>
            </w:r>
          </w:p>
        </w:tc>
        <w:tc>
          <w:tcPr>
            <w:tcW w:w="687" w:type="dxa"/>
            <w:vAlign w:val="center"/>
          </w:tcPr>
          <w:p>
            <w:pPr>
              <w:spacing w:line="240" w:lineRule="auto"/>
              <w:jc w:val="center"/>
              <w:rPr>
                <w:rFonts w:hint="eastAsia" w:ascii="宋体" w:hAnsi="宋体" w:eastAsia="宋体" w:cs="宋体"/>
                <w:color w:val="000000"/>
                <w:spacing w:val="-6"/>
                <w:kern w:val="0"/>
                <w:sz w:val="21"/>
                <w:szCs w:val="21"/>
              </w:rPr>
            </w:pPr>
          </w:p>
        </w:tc>
        <w:tc>
          <w:tcPr>
            <w:tcW w:w="844"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92" w:type="dxa"/>
            <w:vAlign w:val="center"/>
          </w:tcPr>
          <w:p>
            <w:pPr>
              <w:spacing w:line="240" w:lineRule="auto"/>
              <w:jc w:val="center"/>
              <w:rPr>
                <w:rFonts w:hint="eastAsia" w:ascii="宋体" w:hAnsi="宋体" w:eastAsia="宋体" w:cs="宋体"/>
                <w:color w:val="000000"/>
                <w:spacing w:val="-6"/>
                <w:kern w:val="0"/>
                <w:sz w:val="21"/>
                <w:szCs w:val="21"/>
              </w:rPr>
            </w:pPr>
          </w:p>
        </w:tc>
        <w:tc>
          <w:tcPr>
            <w:tcW w:w="781"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56" w:type="dxa"/>
            <w:vAlign w:val="center"/>
          </w:tcPr>
          <w:p>
            <w:pPr>
              <w:spacing w:line="240" w:lineRule="auto"/>
              <w:jc w:val="center"/>
              <w:rPr>
                <w:rFonts w:hint="eastAsia" w:ascii="宋体" w:hAnsi="宋体" w:eastAsia="宋体" w:cs="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18"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4</w:t>
            </w:r>
          </w:p>
        </w:tc>
        <w:tc>
          <w:tcPr>
            <w:tcW w:w="1656"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静曲强度</w:t>
            </w:r>
          </w:p>
        </w:tc>
        <w:tc>
          <w:tcPr>
            <w:tcW w:w="2388"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GB/T 9846-2015</w:t>
            </w:r>
          </w:p>
        </w:tc>
        <w:tc>
          <w:tcPr>
            <w:tcW w:w="687" w:type="dxa"/>
            <w:vAlign w:val="center"/>
          </w:tcPr>
          <w:p>
            <w:pPr>
              <w:spacing w:line="240" w:lineRule="auto"/>
              <w:jc w:val="center"/>
              <w:rPr>
                <w:rFonts w:hint="eastAsia" w:ascii="宋体" w:hAnsi="宋体" w:eastAsia="宋体" w:cs="宋体"/>
                <w:color w:val="000000"/>
                <w:spacing w:val="-6"/>
                <w:kern w:val="0"/>
                <w:sz w:val="21"/>
                <w:szCs w:val="21"/>
              </w:rPr>
            </w:pPr>
          </w:p>
        </w:tc>
        <w:tc>
          <w:tcPr>
            <w:tcW w:w="844"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92" w:type="dxa"/>
            <w:vAlign w:val="center"/>
          </w:tcPr>
          <w:p>
            <w:pPr>
              <w:spacing w:line="240" w:lineRule="auto"/>
              <w:jc w:val="center"/>
              <w:rPr>
                <w:rFonts w:hint="eastAsia" w:ascii="宋体" w:hAnsi="宋体" w:eastAsia="宋体" w:cs="宋体"/>
                <w:color w:val="000000"/>
                <w:spacing w:val="-6"/>
                <w:kern w:val="0"/>
                <w:sz w:val="21"/>
                <w:szCs w:val="21"/>
              </w:rPr>
            </w:pPr>
          </w:p>
        </w:tc>
        <w:tc>
          <w:tcPr>
            <w:tcW w:w="781"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56" w:type="dxa"/>
            <w:vAlign w:val="center"/>
          </w:tcPr>
          <w:p>
            <w:pPr>
              <w:spacing w:line="240" w:lineRule="auto"/>
              <w:jc w:val="center"/>
              <w:rPr>
                <w:rFonts w:hint="eastAsia" w:ascii="宋体" w:hAnsi="宋体" w:eastAsia="宋体" w:cs="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18"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5</w:t>
            </w:r>
          </w:p>
        </w:tc>
        <w:tc>
          <w:tcPr>
            <w:tcW w:w="1656"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弹性模量</w:t>
            </w:r>
          </w:p>
        </w:tc>
        <w:tc>
          <w:tcPr>
            <w:tcW w:w="2388"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GB/T 9846-2015</w:t>
            </w:r>
          </w:p>
        </w:tc>
        <w:tc>
          <w:tcPr>
            <w:tcW w:w="687" w:type="dxa"/>
            <w:vAlign w:val="center"/>
          </w:tcPr>
          <w:p>
            <w:pPr>
              <w:spacing w:line="240" w:lineRule="auto"/>
              <w:jc w:val="center"/>
              <w:rPr>
                <w:rFonts w:hint="eastAsia" w:ascii="宋体" w:hAnsi="宋体" w:eastAsia="宋体" w:cs="宋体"/>
                <w:color w:val="000000"/>
                <w:spacing w:val="-6"/>
                <w:kern w:val="0"/>
                <w:sz w:val="21"/>
                <w:szCs w:val="21"/>
              </w:rPr>
            </w:pPr>
          </w:p>
        </w:tc>
        <w:tc>
          <w:tcPr>
            <w:tcW w:w="844"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92" w:type="dxa"/>
            <w:vAlign w:val="center"/>
          </w:tcPr>
          <w:p>
            <w:pPr>
              <w:spacing w:line="240" w:lineRule="auto"/>
              <w:jc w:val="center"/>
              <w:rPr>
                <w:rFonts w:hint="eastAsia" w:ascii="宋体" w:hAnsi="宋体" w:eastAsia="宋体" w:cs="宋体"/>
                <w:color w:val="000000"/>
                <w:spacing w:val="-6"/>
                <w:kern w:val="0"/>
                <w:sz w:val="21"/>
                <w:szCs w:val="21"/>
              </w:rPr>
            </w:pPr>
          </w:p>
        </w:tc>
        <w:tc>
          <w:tcPr>
            <w:tcW w:w="781"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56" w:type="dxa"/>
            <w:vAlign w:val="center"/>
          </w:tcPr>
          <w:p>
            <w:pPr>
              <w:spacing w:line="240" w:lineRule="auto"/>
              <w:jc w:val="center"/>
              <w:rPr>
                <w:rFonts w:hint="eastAsia" w:ascii="宋体" w:hAnsi="宋体" w:eastAsia="宋体" w:cs="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18"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6</w:t>
            </w:r>
          </w:p>
        </w:tc>
        <w:tc>
          <w:tcPr>
            <w:tcW w:w="1656"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甲醛释放量</w:t>
            </w:r>
            <w:r>
              <w:rPr>
                <w:rFonts w:hint="eastAsia" w:ascii="宋体" w:hAnsi="宋体" w:eastAsia="宋体" w:cs="宋体"/>
                <w:color w:val="000000"/>
                <w:spacing w:val="-6"/>
                <w:kern w:val="0"/>
                <w:sz w:val="21"/>
                <w:szCs w:val="21"/>
                <w:vertAlign w:val="superscript"/>
              </w:rPr>
              <w:t>b</w:t>
            </w:r>
          </w:p>
        </w:tc>
        <w:tc>
          <w:tcPr>
            <w:tcW w:w="2388"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GB 18580-2017</w:t>
            </w:r>
          </w:p>
        </w:tc>
        <w:tc>
          <w:tcPr>
            <w:tcW w:w="687"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844" w:type="dxa"/>
            <w:vAlign w:val="center"/>
          </w:tcPr>
          <w:p>
            <w:pPr>
              <w:spacing w:line="240" w:lineRule="auto"/>
              <w:jc w:val="center"/>
              <w:rPr>
                <w:rFonts w:hint="eastAsia" w:ascii="宋体" w:hAnsi="宋体" w:eastAsia="宋体" w:cs="宋体"/>
                <w:color w:val="000000"/>
                <w:spacing w:val="-6"/>
                <w:kern w:val="0"/>
                <w:sz w:val="21"/>
                <w:szCs w:val="21"/>
              </w:rPr>
            </w:pPr>
          </w:p>
        </w:tc>
        <w:tc>
          <w:tcPr>
            <w:tcW w:w="792"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81" w:type="dxa"/>
            <w:vAlign w:val="center"/>
          </w:tcPr>
          <w:p>
            <w:pPr>
              <w:spacing w:line="240" w:lineRule="auto"/>
              <w:jc w:val="center"/>
              <w:rPr>
                <w:rFonts w:hint="eastAsia" w:ascii="宋体" w:hAnsi="宋体" w:eastAsia="宋体" w:cs="宋体"/>
                <w:color w:val="000000"/>
                <w:spacing w:val="-6"/>
                <w:kern w:val="0"/>
                <w:sz w:val="21"/>
                <w:szCs w:val="21"/>
              </w:rPr>
            </w:pPr>
          </w:p>
        </w:tc>
        <w:tc>
          <w:tcPr>
            <w:tcW w:w="756" w:type="dxa"/>
            <w:vAlign w:val="center"/>
          </w:tcPr>
          <w:p>
            <w:pPr>
              <w:spacing w:line="240" w:lineRule="auto"/>
              <w:jc w:val="center"/>
              <w:rPr>
                <w:rFonts w:hint="eastAsia" w:ascii="宋体" w:hAnsi="宋体" w:eastAsia="宋体" w:cs="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522" w:type="dxa"/>
            <w:gridSpan w:val="8"/>
            <w:vAlign w:val="center"/>
          </w:tcPr>
          <w:p>
            <w:pPr>
              <w:spacing w:line="240" w:lineRule="auto"/>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注：a当胶合板相邻层单板木纹方向相同时，做此项。</w:t>
            </w:r>
          </w:p>
          <w:p>
            <w:pPr>
              <w:spacing w:line="240" w:lineRule="auto"/>
              <w:rPr>
                <w:rFonts w:hint="eastAsia" w:ascii="宋体" w:hAnsi="宋体" w:eastAsia="宋体" w:cs="宋体"/>
                <w:color w:val="000000"/>
                <w:spacing w:val="-6"/>
                <w:sz w:val="21"/>
                <w:szCs w:val="21"/>
              </w:rPr>
            </w:pPr>
            <w:r>
              <w:rPr>
                <w:rFonts w:hint="eastAsia" w:ascii="宋体" w:hAnsi="宋体" w:eastAsia="宋体" w:cs="宋体"/>
                <w:color w:val="000000"/>
                <w:spacing w:val="-6"/>
                <w:kern w:val="0"/>
                <w:sz w:val="21"/>
                <w:szCs w:val="21"/>
              </w:rPr>
              <w:t>b甲醛释放量不进行复检。</w:t>
            </w:r>
          </w:p>
        </w:tc>
      </w:tr>
    </w:tbl>
    <w:p>
      <w:pPr>
        <w:spacing w:line="600" w:lineRule="exact"/>
        <w:ind w:firstLine="616" w:firstLineChars="200"/>
        <w:rPr>
          <w:rFonts w:eastAsia="楷体_GB2312" w:cs="楷体_GB2312"/>
          <w:color w:val="000000"/>
          <w:spacing w:val="-6"/>
          <w:szCs w:val="32"/>
        </w:rPr>
      </w:pPr>
      <w:r>
        <w:rPr>
          <w:rFonts w:hint="eastAsia" w:eastAsia="楷体_GB2312" w:cs="楷体_GB2312"/>
          <w:color w:val="000000"/>
          <w:spacing w:val="-6"/>
          <w:szCs w:val="32"/>
        </w:rPr>
        <w:t>（二）细木工板</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8"/>
        <w:gridCol w:w="1889"/>
        <w:gridCol w:w="2155"/>
        <w:gridCol w:w="687"/>
        <w:gridCol w:w="844"/>
        <w:gridCol w:w="792"/>
        <w:gridCol w:w="781"/>
        <w:gridCol w:w="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618"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序号</w:t>
            </w:r>
          </w:p>
        </w:tc>
        <w:tc>
          <w:tcPr>
            <w:tcW w:w="188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检验项目</w:t>
            </w:r>
          </w:p>
        </w:tc>
        <w:tc>
          <w:tcPr>
            <w:tcW w:w="2155"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检验方法</w:t>
            </w:r>
          </w:p>
        </w:tc>
        <w:tc>
          <w:tcPr>
            <w:tcW w:w="687"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强</w:t>
            </w:r>
          </w:p>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制</w:t>
            </w:r>
          </w:p>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性</w:t>
            </w:r>
          </w:p>
        </w:tc>
        <w:tc>
          <w:tcPr>
            <w:tcW w:w="844"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非强</w:t>
            </w:r>
          </w:p>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制性</w:t>
            </w:r>
          </w:p>
        </w:tc>
        <w:tc>
          <w:tcPr>
            <w:tcW w:w="792"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重</w:t>
            </w:r>
          </w:p>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要</w:t>
            </w:r>
          </w:p>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项</w:t>
            </w:r>
          </w:p>
        </w:tc>
        <w:tc>
          <w:tcPr>
            <w:tcW w:w="781"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较重</w:t>
            </w:r>
          </w:p>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要项</w:t>
            </w:r>
          </w:p>
        </w:tc>
        <w:tc>
          <w:tcPr>
            <w:tcW w:w="756" w:type="dxa"/>
            <w:tcBorders>
              <w:top w:val="single" w:color="auto" w:sz="4" w:space="0"/>
              <w:left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次</w:t>
            </w:r>
          </w:p>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要</w:t>
            </w:r>
          </w:p>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18"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1</w:t>
            </w:r>
          </w:p>
        </w:tc>
        <w:tc>
          <w:tcPr>
            <w:tcW w:w="1889"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含水率</w:t>
            </w:r>
          </w:p>
        </w:tc>
        <w:tc>
          <w:tcPr>
            <w:tcW w:w="2155"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GB/T 5849-2016</w:t>
            </w:r>
          </w:p>
        </w:tc>
        <w:tc>
          <w:tcPr>
            <w:tcW w:w="687" w:type="dxa"/>
            <w:vAlign w:val="center"/>
          </w:tcPr>
          <w:p>
            <w:pPr>
              <w:spacing w:line="240" w:lineRule="auto"/>
              <w:jc w:val="center"/>
              <w:rPr>
                <w:rFonts w:hint="eastAsia" w:ascii="宋体" w:hAnsi="宋体" w:eastAsia="宋体" w:cs="宋体"/>
                <w:color w:val="000000"/>
                <w:spacing w:val="-6"/>
                <w:kern w:val="0"/>
                <w:sz w:val="21"/>
                <w:szCs w:val="21"/>
              </w:rPr>
            </w:pPr>
          </w:p>
        </w:tc>
        <w:tc>
          <w:tcPr>
            <w:tcW w:w="844"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92" w:type="dxa"/>
            <w:vAlign w:val="center"/>
          </w:tcPr>
          <w:p>
            <w:pPr>
              <w:spacing w:line="240" w:lineRule="auto"/>
              <w:jc w:val="center"/>
              <w:rPr>
                <w:rFonts w:hint="eastAsia" w:ascii="宋体" w:hAnsi="宋体" w:eastAsia="宋体" w:cs="宋体"/>
                <w:color w:val="000000"/>
                <w:spacing w:val="-6"/>
                <w:kern w:val="0"/>
                <w:sz w:val="21"/>
                <w:szCs w:val="21"/>
              </w:rPr>
            </w:pPr>
          </w:p>
        </w:tc>
        <w:tc>
          <w:tcPr>
            <w:tcW w:w="781"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56" w:type="dxa"/>
            <w:vAlign w:val="center"/>
          </w:tcPr>
          <w:p>
            <w:pPr>
              <w:spacing w:line="240" w:lineRule="auto"/>
              <w:jc w:val="center"/>
              <w:rPr>
                <w:rFonts w:hint="eastAsia" w:ascii="宋体" w:hAnsi="宋体" w:eastAsia="宋体" w:cs="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18"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2</w:t>
            </w:r>
          </w:p>
        </w:tc>
        <w:tc>
          <w:tcPr>
            <w:tcW w:w="1889"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横向静曲强度</w:t>
            </w:r>
          </w:p>
        </w:tc>
        <w:tc>
          <w:tcPr>
            <w:tcW w:w="2155"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GB/T 5849-2016</w:t>
            </w:r>
          </w:p>
        </w:tc>
        <w:tc>
          <w:tcPr>
            <w:tcW w:w="687" w:type="dxa"/>
            <w:vAlign w:val="top"/>
          </w:tcPr>
          <w:p>
            <w:pPr>
              <w:spacing w:line="240" w:lineRule="auto"/>
              <w:jc w:val="center"/>
              <w:rPr>
                <w:rFonts w:hint="eastAsia" w:ascii="宋体" w:hAnsi="宋体" w:eastAsia="宋体" w:cs="宋体"/>
                <w:color w:val="000000"/>
                <w:spacing w:val="-6"/>
                <w:kern w:val="0"/>
                <w:sz w:val="21"/>
                <w:szCs w:val="21"/>
              </w:rPr>
            </w:pPr>
          </w:p>
        </w:tc>
        <w:tc>
          <w:tcPr>
            <w:tcW w:w="844"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92" w:type="dxa"/>
            <w:vAlign w:val="top"/>
          </w:tcPr>
          <w:p>
            <w:pPr>
              <w:spacing w:line="240" w:lineRule="auto"/>
              <w:jc w:val="center"/>
              <w:rPr>
                <w:rFonts w:hint="eastAsia" w:ascii="宋体" w:hAnsi="宋体" w:eastAsia="宋体" w:cs="宋体"/>
                <w:color w:val="000000"/>
                <w:spacing w:val="-6"/>
                <w:kern w:val="0"/>
                <w:sz w:val="21"/>
                <w:szCs w:val="21"/>
              </w:rPr>
            </w:pPr>
          </w:p>
        </w:tc>
        <w:tc>
          <w:tcPr>
            <w:tcW w:w="781"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56" w:type="dxa"/>
            <w:vAlign w:val="top"/>
          </w:tcPr>
          <w:p>
            <w:pPr>
              <w:spacing w:line="240" w:lineRule="auto"/>
              <w:jc w:val="center"/>
              <w:rPr>
                <w:rFonts w:hint="eastAsia" w:ascii="宋体" w:hAnsi="宋体" w:eastAsia="宋体" w:cs="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18"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3</w:t>
            </w:r>
          </w:p>
        </w:tc>
        <w:tc>
          <w:tcPr>
            <w:tcW w:w="1889"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浸渍剥离性能</w:t>
            </w:r>
          </w:p>
        </w:tc>
        <w:tc>
          <w:tcPr>
            <w:tcW w:w="2155"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GB/T 5849-2016</w:t>
            </w:r>
          </w:p>
        </w:tc>
        <w:tc>
          <w:tcPr>
            <w:tcW w:w="687" w:type="dxa"/>
            <w:vAlign w:val="top"/>
          </w:tcPr>
          <w:p>
            <w:pPr>
              <w:spacing w:line="240" w:lineRule="auto"/>
              <w:jc w:val="center"/>
              <w:rPr>
                <w:rFonts w:hint="eastAsia" w:ascii="宋体" w:hAnsi="宋体" w:eastAsia="宋体" w:cs="宋体"/>
                <w:color w:val="000000"/>
                <w:spacing w:val="-6"/>
                <w:kern w:val="0"/>
                <w:sz w:val="21"/>
                <w:szCs w:val="21"/>
              </w:rPr>
            </w:pPr>
          </w:p>
        </w:tc>
        <w:tc>
          <w:tcPr>
            <w:tcW w:w="844"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92" w:type="dxa"/>
            <w:vAlign w:val="top"/>
          </w:tcPr>
          <w:p>
            <w:pPr>
              <w:spacing w:line="240" w:lineRule="auto"/>
              <w:jc w:val="center"/>
              <w:rPr>
                <w:rFonts w:hint="eastAsia" w:ascii="宋体" w:hAnsi="宋体" w:eastAsia="宋体" w:cs="宋体"/>
                <w:color w:val="000000"/>
                <w:spacing w:val="-6"/>
                <w:kern w:val="0"/>
                <w:sz w:val="21"/>
                <w:szCs w:val="21"/>
              </w:rPr>
            </w:pPr>
          </w:p>
        </w:tc>
        <w:tc>
          <w:tcPr>
            <w:tcW w:w="781"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56" w:type="dxa"/>
            <w:vAlign w:val="top"/>
          </w:tcPr>
          <w:p>
            <w:pPr>
              <w:spacing w:line="240" w:lineRule="auto"/>
              <w:jc w:val="center"/>
              <w:rPr>
                <w:rFonts w:hint="eastAsia" w:ascii="宋体" w:hAnsi="宋体" w:eastAsia="宋体" w:cs="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18"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4</w:t>
            </w:r>
          </w:p>
        </w:tc>
        <w:tc>
          <w:tcPr>
            <w:tcW w:w="1889"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胶合强度</w:t>
            </w:r>
          </w:p>
        </w:tc>
        <w:tc>
          <w:tcPr>
            <w:tcW w:w="2155"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GB/T 5849-2016</w:t>
            </w:r>
          </w:p>
        </w:tc>
        <w:tc>
          <w:tcPr>
            <w:tcW w:w="687" w:type="dxa"/>
            <w:vAlign w:val="top"/>
          </w:tcPr>
          <w:p>
            <w:pPr>
              <w:spacing w:line="240" w:lineRule="auto"/>
              <w:jc w:val="center"/>
              <w:rPr>
                <w:rFonts w:hint="eastAsia" w:ascii="宋体" w:hAnsi="宋体" w:eastAsia="宋体" w:cs="宋体"/>
                <w:color w:val="000000"/>
                <w:spacing w:val="-6"/>
                <w:kern w:val="0"/>
                <w:sz w:val="21"/>
                <w:szCs w:val="21"/>
              </w:rPr>
            </w:pPr>
          </w:p>
        </w:tc>
        <w:tc>
          <w:tcPr>
            <w:tcW w:w="844"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92" w:type="dxa"/>
            <w:vAlign w:val="top"/>
          </w:tcPr>
          <w:p>
            <w:pPr>
              <w:spacing w:line="240" w:lineRule="auto"/>
              <w:jc w:val="center"/>
              <w:rPr>
                <w:rFonts w:hint="eastAsia" w:ascii="宋体" w:hAnsi="宋体" w:eastAsia="宋体" w:cs="宋体"/>
                <w:color w:val="000000"/>
                <w:spacing w:val="-6"/>
                <w:kern w:val="0"/>
                <w:sz w:val="21"/>
                <w:szCs w:val="21"/>
              </w:rPr>
            </w:pPr>
          </w:p>
        </w:tc>
        <w:tc>
          <w:tcPr>
            <w:tcW w:w="781"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56" w:type="dxa"/>
            <w:vAlign w:val="top"/>
          </w:tcPr>
          <w:p>
            <w:pPr>
              <w:spacing w:line="240" w:lineRule="auto"/>
              <w:jc w:val="center"/>
              <w:rPr>
                <w:rFonts w:hint="eastAsia" w:ascii="宋体" w:hAnsi="宋体" w:eastAsia="宋体" w:cs="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18"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5</w:t>
            </w:r>
          </w:p>
        </w:tc>
        <w:tc>
          <w:tcPr>
            <w:tcW w:w="1889"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表面胶合强度</w:t>
            </w:r>
          </w:p>
        </w:tc>
        <w:tc>
          <w:tcPr>
            <w:tcW w:w="2155"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GB/T 5849-2016</w:t>
            </w:r>
          </w:p>
        </w:tc>
        <w:tc>
          <w:tcPr>
            <w:tcW w:w="687" w:type="dxa"/>
            <w:vAlign w:val="top"/>
          </w:tcPr>
          <w:p>
            <w:pPr>
              <w:spacing w:line="240" w:lineRule="auto"/>
              <w:jc w:val="center"/>
              <w:rPr>
                <w:rFonts w:hint="eastAsia" w:ascii="宋体" w:hAnsi="宋体" w:eastAsia="宋体" w:cs="宋体"/>
                <w:color w:val="000000"/>
                <w:spacing w:val="-6"/>
                <w:kern w:val="0"/>
                <w:sz w:val="21"/>
                <w:szCs w:val="21"/>
              </w:rPr>
            </w:pPr>
          </w:p>
        </w:tc>
        <w:tc>
          <w:tcPr>
            <w:tcW w:w="844"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92" w:type="dxa"/>
            <w:vAlign w:val="top"/>
          </w:tcPr>
          <w:p>
            <w:pPr>
              <w:spacing w:line="240" w:lineRule="auto"/>
              <w:jc w:val="center"/>
              <w:rPr>
                <w:rFonts w:hint="eastAsia" w:ascii="宋体" w:hAnsi="宋体" w:eastAsia="宋体" w:cs="宋体"/>
                <w:color w:val="000000"/>
                <w:spacing w:val="-6"/>
                <w:kern w:val="0"/>
                <w:sz w:val="21"/>
                <w:szCs w:val="21"/>
              </w:rPr>
            </w:pPr>
          </w:p>
        </w:tc>
        <w:tc>
          <w:tcPr>
            <w:tcW w:w="781"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56" w:type="dxa"/>
            <w:vAlign w:val="top"/>
          </w:tcPr>
          <w:p>
            <w:pPr>
              <w:spacing w:line="240" w:lineRule="auto"/>
              <w:jc w:val="center"/>
              <w:rPr>
                <w:rFonts w:hint="eastAsia" w:ascii="宋体" w:hAnsi="宋体" w:eastAsia="宋体" w:cs="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18"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6</w:t>
            </w:r>
          </w:p>
        </w:tc>
        <w:tc>
          <w:tcPr>
            <w:tcW w:w="1889"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甲醛释放量</w:t>
            </w:r>
            <w:r>
              <w:rPr>
                <w:rFonts w:hint="eastAsia" w:ascii="宋体" w:hAnsi="宋体" w:eastAsia="宋体" w:cs="宋体"/>
                <w:color w:val="000000"/>
                <w:spacing w:val="-6"/>
                <w:kern w:val="0"/>
                <w:sz w:val="21"/>
                <w:szCs w:val="21"/>
                <w:vertAlign w:val="superscript"/>
              </w:rPr>
              <w:t>a</w:t>
            </w:r>
          </w:p>
        </w:tc>
        <w:tc>
          <w:tcPr>
            <w:tcW w:w="2155"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GB 18580-2017</w:t>
            </w:r>
          </w:p>
        </w:tc>
        <w:tc>
          <w:tcPr>
            <w:tcW w:w="687"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844" w:type="dxa"/>
            <w:vAlign w:val="top"/>
          </w:tcPr>
          <w:p>
            <w:pPr>
              <w:spacing w:line="240" w:lineRule="auto"/>
              <w:jc w:val="center"/>
              <w:rPr>
                <w:rFonts w:hint="eastAsia" w:ascii="宋体" w:hAnsi="宋体" w:eastAsia="宋体" w:cs="宋体"/>
                <w:color w:val="000000"/>
                <w:spacing w:val="-6"/>
                <w:kern w:val="0"/>
                <w:sz w:val="21"/>
                <w:szCs w:val="21"/>
              </w:rPr>
            </w:pPr>
          </w:p>
        </w:tc>
        <w:tc>
          <w:tcPr>
            <w:tcW w:w="792"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81" w:type="dxa"/>
            <w:vAlign w:val="top"/>
          </w:tcPr>
          <w:p>
            <w:pPr>
              <w:spacing w:line="240" w:lineRule="auto"/>
              <w:jc w:val="center"/>
              <w:rPr>
                <w:rFonts w:hint="eastAsia" w:ascii="宋体" w:hAnsi="宋体" w:eastAsia="宋体" w:cs="宋体"/>
                <w:color w:val="000000"/>
                <w:spacing w:val="-6"/>
                <w:kern w:val="0"/>
                <w:sz w:val="21"/>
                <w:szCs w:val="21"/>
              </w:rPr>
            </w:pPr>
          </w:p>
        </w:tc>
        <w:tc>
          <w:tcPr>
            <w:tcW w:w="756" w:type="dxa"/>
            <w:vAlign w:val="top"/>
          </w:tcPr>
          <w:p>
            <w:pPr>
              <w:spacing w:line="240" w:lineRule="auto"/>
              <w:jc w:val="center"/>
              <w:rPr>
                <w:rFonts w:hint="eastAsia" w:ascii="宋体" w:hAnsi="宋体" w:eastAsia="宋体" w:cs="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522" w:type="dxa"/>
            <w:gridSpan w:val="8"/>
            <w:vAlign w:val="center"/>
          </w:tcPr>
          <w:p>
            <w:pPr>
              <w:spacing w:line="240" w:lineRule="auto"/>
              <w:rPr>
                <w:rFonts w:hint="eastAsia" w:ascii="宋体" w:hAnsi="宋体" w:eastAsia="宋体" w:cs="宋体"/>
                <w:color w:val="000000"/>
                <w:spacing w:val="-6"/>
                <w:sz w:val="21"/>
                <w:szCs w:val="21"/>
              </w:rPr>
            </w:pPr>
            <w:r>
              <w:rPr>
                <w:rFonts w:hint="eastAsia" w:ascii="宋体" w:hAnsi="宋体" w:eastAsia="宋体" w:cs="宋体"/>
                <w:color w:val="000000"/>
                <w:spacing w:val="-6"/>
                <w:kern w:val="0"/>
                <w:sz w:val="21"/>
                <w:szCs w:val="21"/>
              </w:rPr>
              <w:t>注：a甲醛释放量不进行复检。</w:t>
            </w:r>
          </w:p>
        </w:tc>
      </w:tr>
    </w:tbl>
    <w:p>
      <w:pPr>
        <w:spacing w:line="600" w:lineRule="exact"/>
        <w:ind w:firstLine="616" w:firstLineChars="200"/>
        <w:rPr>
          <w:rFonts w:eastAsia="楷体_GB2312" w:cs="楷体_GB2312"/>
          <w:color w:val="000000"/>
          <w:spacing w:val="-6"/>
          <w:szCs w:val="32"/>
        </w:rPr>
      </w:pPr>
      <w:r>
        <w:rPr>
          <w:rFonts w:hint="eastAsia" w:eastAsia="楷体_GB2312" w:cs="楷体_GB2312"/>
          <w:color w:val="000000"/>
          <w:spacing w:val="-6"/>
          <w:szCs w:val="32"/>
        </w:rPr>
        <w:t>（三）刨花板</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8"/>
        <w:gridCol w:w="2021"/>
        <w:gridCol w:w="2023"/>
        <w:gridCol w:w="687"/>
        <w:gridCol w:w="844"/>
        <w:gridCol w:w="792"/>
        <w:gridCol w:w="781"/>
        <w:gridCol w:w="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618"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序号</w:t>
            </w:r>
          </w:p>
        </w:tc>
        <w:tc>
          <w:tcPr>
            <w:tcW w:w="2021"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检验项目</w:t>
            </w:r>
          </w:p>
        </w:tc>
        <w:tc>
          <w:tcPr>
            <w:tcW w:w="202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检验方法</w:t>
            </w:r>
          </w:p>
        </w:tc>
        <w:tc>
          <w:tcPr>
            <w:tcW w:w="687"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强</w:t>
            </w:r>
          </w:p>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制</w:t>
            </w:r>
          </w:p>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性</w:t>
            </w:r>
          </w:p>
        </w:tc>
        <w:tc>
          <w:tcPr>
            <w:tcW w:w="844"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非强</w:t>
            </w:r>
          </w:p>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制性</w:t>
            </w:r>
          </w:p>
        </w:tc>
        <w:tc>
          <w:tcPr>
            <w:tcW w:w="792"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重</w:t>
            </w:r>
          </w:p>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要</w:t>
            </w:r>
          </w:p>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项</w:t>
            </w:r>
          </w:p>
        </w:tc>
        <w:tc>
          <w:tcPr>
            <w:tcW w:w="781"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较重</w:t>
            </w:r>
          </w:p>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要项</w:t>
            </w:r>
          </w:p>
        </w:tc>
        <w:tc>
          <w:tcPr>
            <w:tcW w:w="756" w:type="dxa"/>
            <w:tcBorders>
              <w:top w:val="single" w:color="auto" w:sz="4" w:space="0"/>
              <w:left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次</w:t>
            </w:r>
          </w:p>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要</w:t>
            </w:r>
          </w:p>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18"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1</w:t>
            </w:r>
          </w:p>
        </w:tc>
        <w:tc>
          <w:tcPr>
            <w:tcW w:w="2021"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静曲强度</w:t>
            </w:r>
          </w:p>
        </w:tc>
        <w:tc>
          <w:tcPr>
            <w:tcW w:w="2023"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GB/T 4897-2015</w:t>
            </w:r>
          </w:p>
        </w:tc>
        <w:tc>
          <w:tcPr>
            <w:tcW w:w="687" w:type="dxa"/>
            <w:vAlign w:val="top"/>
          </w:tcPr>
          <w:p>
            <w:pPr>
              <w:spacing w:line="240" w:lineRule="auto"/>
              <w:jc w:val="center"/>
              <w:rPr>
                <w:rFonts w:hint="eastAsia" w:ascii="宋体" w:hAnsi="宋体" w:eastAsia="宋体" w:cs="宋体"/>
                <w:color w:val="000000"/>
                <w:spacing w:val="-6"/>
                <w:kern w:val="0"/>
                <w:sz w:val="21"/>
                <w:szCs w:val="21"/>
              </w:rPr>
            </w:pPr>
          </w:p>
        </w:tc>
        <w:tc>
          <w:tcPr>
            <w:tcW w:w="844"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92" w:type="dxa"/>
            <w:vAlign w:val="top"/>
          </w:tcPr>
          <w:p>
            <w:pPr>
              <w:spacing w:line="240" w:lineRule="auto"/>
              <w:jc w:val="center"/>
              <w:rPr>
                <w:rFonts w:hint="eastAsia" w:ascii="宋体" w:hAnsi="宋体" w:eastAsia="宋体" w:cs="宋体"/>
                <w:color w:val="000000"/>
                <w:spacing w:val="-6"/>
                <w:kern w:val="0"/>
                <w:sz w:val="21"/>
                <w:szCs w:val="21"/>
              </w:rPr>
            </w:pPr>
          </w:p>
        </w:tc>
        <w:tc>
          <w:tcPr>
            <w:tcW w:w="781"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56" w:type="dxa"/>
            <w:vAlign w:val="top"/>
          </w:tcPr>
          <w:p>
            <w:pPr>
              <w:spacing w:line="240" w:lineRule="auto"/>
              <w:jc w:val="center"/>
              <w:rPr>
                <w:rFonts w:hint="eastAsia" w:ascii="宋体" w:hAnsi="宋体" w:eastAsia="宋体" w:cs="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18"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2</w:t>
            </w:r>
          </w:p>
        </w:tc>
        <w:tc>
          <w:tcPr>
            <w:tcW w:w="2021"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内胶合强度</w:t>
            </w:r>
          </w:p>
        </w:tc>
        <w:tc>
          <w:tcPr>
            <w:tcW w:w="2023"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GB/T 4897-2015</w:t>
            </w:r>
          </w:p>
        </w:tc>
        <w:tc>
          <w:tcPr>
            <w:tcW w:w="687" w:type="dxa"/>
            <w:vAlign w:val="top"/>
          </w:tcPr>
          <w:p>
            <w:pPr>
              <w:spacing w:line="240" w:lineRule="auto"/>
              <w:jc w:val="center"/>
              <w:rPr>
                <w:rFonts w:hint="eastAsia" w:ascii="宋体" w:hAnsi="宋体" w:eastAsia="宋体" w:cs="宋体"/>
                <w:color w:val="000000"/>
                <w:spacing w:val="-6"/>
                <w:kern w:val="0"/>
                <w:sz w:val="21"/>
                <w:szCs w:val="21"/>
              </w:rPr>
            </w:pPr>
          </w:p>
        </w:tc>
        <w:tc>
          <w:tcPr>
            <w:tcW w:w="844"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92" w:type="dxa"/>
            <w:vAlign w:val="top"/>
          </w:tcPr>
          <w:p>
            <w:pPr>
              <w:spacing w:line="240" w:lineRule="auto"/>
              <w:jc w:val="center"/>
              <w:rPr>
                <w:rFonts w:hint="eastAsia" w:ascii="宋体" w:hAnsi="宋体" w:eastAsia="宋体" w:cs="宋体"/>
                <w:color w:val="000000"/>
                <w:spacing w:val="-6"/>
                <w:kern w:val="0"/>
                <w:sz w:val="21"/>
                <w:szCs w:val="21"/>
              </w:rPr>
            </w:pPr>
          </w:p>
        </w:tc>
        <w:tc>
          <w:tcPr>
            <w:tcW w:w="781"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56" w:type="dxa"/>
            <w:vAlign w:val="top"/>
          </w:tcPr>
          <w:p>
            <w:pPr>
              <w:spacing w:line="240" w:lineRule="auto"/>
              <w:jc w:val="center"/>
              <w:rPr>
                <w:rFonts w:hint="eastAsia" w:ascii="宋体" w:hAnsi="宋体" w:eastAsia="宋体" w:cs="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18"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3</w:t>
            </w:r>
          </w:p>
        </w:tc>
        <w:tc>
          <w:tcPr>
            <w:tcW w:w="2021"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2h（或24 h）吸水厚度膨胀率</w:t>
            </w:r>
            <w:r>
              <w:rPr>
                <w:rFonts w:hint="eastAsia" w:ascii="宋体" w:hAnsi="宋体" w:eastAsia="宋体" w:cs="宋体"/>
                <w:color w:val="000000"/>
                <w:spacing w:val="-6"/>
                <w:kern w:val="0"/>
                <w:sz w:val="21"/>
                <w:szCs w:val="21"/>
                <w:vertAlign w:val="superscript"/>
              </w:rPr>
              <w:t>a</w:t>
            </w:r>
          </w:p>
        </w:tc>
        <w:tc>
          <w:tcPr>
            <w:tcW w:w="2023"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GB/T 4897-2015</w:t>
            </w:r>
          </w:p>
        </w:tc>
        <w:tc>
          <w:tcPr>
            <w:tcW w:w="687" w:type="dxa"/>
            <w:vAlign w:val="center"/>
          </w:tcPr>
          <w:p>
            <w:pPr>
              <w:spacing w:line="240" w:lineRule="auto"/>
              <w:jc w:val="center"/>
              <w:rPr>
                <w:rFonts w:hint="eastAsia" w:ascii="宋体" w:hAnsi="宋体" w:eastAsia="宋体" w:cs="宋体"/>
                <w:color w:val="000000"/>
                <w:spacing w:val="-6"/>
                <w:kern w:val="0"/>
                <w:sz w:val="21"/>
                <w:szCs w:val="21"/>
              </w:rPr>
            </w:pPr>
          </w:p>
        </w:tc>
        <w:tc>
          <w:tcPr>
            <w:tcW w:w="844"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92" w:type="dxa"/>
            <w:vAlign w:val="center"/>
          </w:tcPr>
          <w:p>
            <w:pPr>
              <w:spacing w:line="240" w:lineRule="auto"/>
              <w:jc w:val="center"/>
              <w:rPr>
                <w:rFonts w:hint="eastAsia" w:ascii="宋体" w:hAnsi="宋体" w:eastAsia="宋体" w:cs="宋体"/>
                <w:color w:val="000000"/>
                <w:spacing w:val="-6"/>
                <w:kern w:val="0"/>
                <w:sz w:val="21"/>
                <w:szCs w:val="21"/>
              </w:rPr>
            </w:pPr>
          </w:p>
        </w:tc>
        <w:tc>
          <w:tcPr>
            <w:tcW w:w="781"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56" w:type="dxa"/>
            <w:vAlign w:val="top"/>
          </w:tcPr>
          <w:p>
            <w:pPr>
              <w:spacing w:line="240" w:lineRule="auto"/>
              <w:jc w:val="center"/>
              <w:rPr>
                <w:rFonts w:hint="eastAsia" w:ascii="宋体" w:hAnsi="宋体" w:eastAsia="宋体" w:cs="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18"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4</w:t>
            </w:r>
          </w:p>
        </w:tc>
        <w:tc>
          <w:tcPr>
            <w:tcW w:w="2021"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握螺钉力</w:t>
            </w:r>
            <w:r>
              <w:rPr>
                <w:rFonts w:hint="eastAsia" w:ascii="宋体" w:hAnsi="宋体" w:eastAsia="宋体" w:cs="宋体"/>
                <w:color w:val="000000"/>
                <w:spacing w:val="-6"/>
                <w:kern w:val="0"/>
                <w:sz w:val="21"/>
                <w:szCs w:val="21"/>
                <w:vertAlign w:val="superscript"/>
              </w:rPr>
              <w:t>b</w:t>
            </w:r>
          </w:p>
        </w:tc>
        <w:tc>
          <w:tcPr>
            <w:tcW w:w="2023"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GB/T 4897-2015</w:t>
            </w:r>
          </w:p>
        </w:tc>
        <w:tc>
          <w:tcPr>
            <w:tcW w:w="687" w:type="dxa"/>
            <w:vAlign w:val="top"/>
          </w:tcPr>
          <w:p>
            <w:pPr>
              <w:spacing w:line="240" w:lineRule="auto"/>
              <w:jc w:val="center"/>
              <w:rPr>
                <w:rFonts w:hint="eastAsia" w:ascii="宋体" w:hAnsi="宋体" w:eastAsia="宋体" w:cs="宋体"/>
                <w:color w:val="000000"/>
                <w:spacing w:val="-6"/>
                <w:kern w:val="0"/>
                <w:sz w:val="21"/>
                <w:szCs w:val="21"/>
              </w:rPr>
            </w:pPr>
          </w:p>
        </w:tc>
        <w:tc>
          <w:tcPr>
            <w:tcW w:w="844"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92" w:type="dxa"/>
            <w:vAlign w:val="top"/>
          </w:tcPr>
          <w:p>
            <w:pPr>
              <w:spacing w:line="240" w:lineRule="auto"/>
              <w:jc w:val="center"/>
              <w:rPr>
                <w:rFonts w:hint="eastAsia" w:ascii="宋体" w:hAnsi="宋体" w:eastAsia="宋体" w:cs="宋体"/>
                <w:color w:val="000000"/>
                <w:spacing w:val="-6"/>
                <w:kern w:val="0"/>
                <w:sz w:val="21"/>
                <w:szCs w:val="21"/>
              </w:rPr>
            </w:pPr>
          </w:p>
        </w:tc>
        <w:tc>
          <w:tcPr>
            <w:tcW w:w="781"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56" w:type="dxa"/>
            <w:vAlign w:val="top"/>
          </w:tcPr>
          <w:p>
            <w:pPr>
              <w:spacing w:line="240" w:lineRule="auto"/>
              <w:jc w:val="center"/>
              <w:rPr>
                <w:rFonts w:hint="eastAsia" w:ascii="宋体" w:hAnsi="宋体" w:eastAsia="宋体" w:cs="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18"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5</w:t>
            </w:r>
          </w:p>
        </w:tc>
        <w:tc>
          <w:tcPr>
            <w:tcW w:w="2021"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甲醛释放量</w:t>
            </w:r>
            <w:r>
              <w:rPr>
                <w:rFonts w:hint="eastAsia" w:ascii="宋体" w:hAnsi="宋体" w:eastAsia="宋体" w:cs="宋体"/>
                <w:color w:val="000000"/>
                <w:spacing w:val="-6"/>
                <w:kern w:val="0"/>
                <w:sz w:val="21"/>
                <w:szCs w:val="21"/>
                <w:vertAlign w:val="superscript"/>
              </w:rPr>
              <w:t>c</w:t>
            </w:r>
          </w:p>
        </w:tc>
        <w:tc>
          <w:tcPr>
            <w:tcW w:w="2023"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GB 18580-2017</w:t>
            </w:r>
          </w:p>
        </w:tc>
        <w:tc>
          <w:tcPr>
            <w:tcW w:w="687"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844" w:type="dxa"/>
            <w:vAlign w:val="top"/>
          </w:tcPr>
          <w:p>
            <w:pPr>
              <w:spacing w:line="240" w:lineRule="auto"/>
              <w:jc w:val="center"/>
              <w:rPr>
                <w:rFonts w:hint="eastAsia" w:ascii="宋体" w:hAnsi="宋体" w:eastAsia="宋体" w:cs="宋体"/>
                <w:color w:val="000000"/>
                <w:spacing w:val="-6"/>
                <w:kern w:val="0"/>
                <w:sz w:val="21"/>
                <w:szCs w:val="21"/>
              </w:rPr>
            </w:pPr>
          </w:p>
        </w:tc>
        <w:tc>
          <w:tcPr>
            <w:tcW w:w="792"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81" w:type="dxa"/>
            <w:vAlign w:val="top"/>
          </w:tcPr>
          <w:p>
            <w:pPr>
              <w:spacing w:line="240" w:lineRule="auto"/>
              <w:jc w:val="center"/>
              <w:rPr>
                <w:rFonts w:hint="eastAsia" w:ascii="宋体" w:hAnsi="宋体" w:eastAsia="宋体" w:cs="宋体"/>
                <w:color w:val="000000"/>
                <w:spacing w:val="-6"/>
                <w:kern w:val="0"/>
                <w:sz w:val="21"/>
                <w:szCs w:val="21"/>
              </w:rPr>
            </w:pPr>
          </w:p>
        </w:tc>
        <w:tc>
          <w:tcPr>
            <w:tcW w:w="756" w:type="dxa"/>
            <w:vAlign w:val="top"/>
          </w:tcPr>
          <w:p>
            <w:pPr>
              <w:spacing w:line="240" w:lineRule="auto"/>
              <w:jc w:val="center"/>
              <w:rPr>
                <w:rFonts w:hint="eastAsia" w:ascii="宋体" w:hAnsi="宋体" w:eastAsia="宋体" w:cs="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522" w:type="dxa"/>
            <w:gridSpan w:val="8"/>
            <w:vAlign w:val="center"/>
          </w:tcPr>
          <w:p>
            <w:pPr>
              <w:spacing w:line="240" w:lineRule="auto"/>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注：a  P1型不做；P2型浸泡时间为2h；P3～P12型浸泡时间为24h。</w:t>
            </w:r>
          </w:p>
          <w:p>
            <w:pPr>
              <w:spacing w:line="240" w:lineRule="auto"/>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b P1型不做，P2～P12型做此项，板厚不足15mm，只测板面。</w:t>
            </w:r>
          </w:p>
          <w:p>
            <w:pPr>
              <w:spacing w:line="240" w:lineRule="auto"/>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c甲醛释放量不进行复检。</w:t>
            </w:r>
          </w:p>
        </w:tc>
      </w:tr>
    </w:tbl>
    <w:p>
      <w:pPr>
        <w:spacing w:line="600" w:lineRule="exact"/>
        <w:ind w:firstLine="616" w:firstLineChars="200"/>
        <w:rPr>
          <w:rFonts w:eastAsia="楷体_GB2312" w:cs="楷体_GB2312"/>
          <w:color w:val="000000"/>
          <w:spacing w:val="-6"/>
          <w:szCs w:val="32"/>
        </w:rPr>
      </w:pPr>
      <w:r>
        <w:rPr>
          <w:rFonts w:hint="eastAsia" w:eastAsia="楷体_GB2312" w:cs="楷体_GB2312"/>
          <w:color w:val="000000"/>
          <w:spacing w:val="-6"/>
          <w:szCs w:val="32"/>
        </w:rPr>
        <w:t>（四）中密度纤维板</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1954"/>
        <w:gridCol w:w="2155"/>
        <w:gridCol w:w="687"/>
        <w:gridCol w:w="844"/>
        <w:gridCol w:w="792"/>
        <w:gridCol w:w="781"/>
        <w:gridCol w:w="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55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序号</w:t>
            </w:r>
          </w:p>
        </w:tc>
        <w:tc>
          <w:tcPr>
            <w:tcW w:w="1954"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检验项目</w:t>
            </w:r>
          </w:p>
        </w:tc>
        <w:tc>
          <w:tcPr>
            <w:tcW w:w="2155"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检验方法</w:t>
            </w:r>
          </w:p>
        </w:tc>
        <w:tc>
          <w:tcPr>
            <w:tcW w:w="687"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强</w:t>
            </w:r>
          </w:p>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制</w:t>
            </w:r>
          </w:p>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性</w:t>
            </w:r>
          </w:p>
        </w:tc>
        <w:tc>
          <w:tcPr>
            <w:tcW w:w="844"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非强</w:t>
            </w:r>
          </w:p>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制性</w:t>
            </w:r>
          </w:p>
        </w:tc>
        <w:tc>
          <w:tcPr>
            <w:tcW w:w="792"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重</w:t>
            </w:r>
          </w:p>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要</w:t>
            </w:r>
          </w:p>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项</w:t>
            </w:r>
          </w:p>
        </w:tc>
        <w:tc>
          <w:tcPr>
            <w:tcW w:w="781"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较重</w:t>
            </w:r>
          </w:p>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要项</w:t>
            </w:r>
          </w:p>
        </w:tc>
        <w:tc>
          <w:tcPr>
            <w:tcW w:w="756" w:type="dxa"/>
            <w:tcBorders>
              <w:top w:val="single" w:color="auto" w:sz="4" w:space="0"/>
              <w:left w:val="single" w:color="auto" w:sz="4" w:space="0"/>
              <w:right w:val="single" w:color="auto" w:sz="4" w:space="0"/>
            </w:tcBorders>
            <w:shd w:val="clear" w:color="auto" w:fill="FFFFFF"/>
            <w:vAlign w:val="center"/>
          </w:tcPr>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次</w:t>
            </w:r>
          </w:p>
          <w:p>
            <w:pPr>
              <w:adjustRightInd w:val="0"/>
              <w:snapToGrid w:val="0"/>
              <w:spacing w:line="240" w:lineRule="auto"/>
              <w:jc w:val="center"/>
              <w:rPr>
                <w:rFonts w:hint="eastAsia" w:ascii="黑体" w:hAnsi="黑体" w:eastAsia="黑体" w:cs="黑体"/>
                <w:color w:val="000000"/>
                <w:spacing w:val="-6"/>
                <w:sz w:val="21"/>
                <w:szCs w:val="21"/>
              </w:rPr>
            </w:pPr>
            <w:r>
              <w:rPr>
                <w:rFonts w:hint="eastAsia" w:ascii="黑体" w:hAnsi="黑体" w:eastAsia="黑体" w:cs="黑体"/>
                <w:color w:val="000000"/>
                <w:spacing w:val="-6"/>
                <w:sz w:val="21"/>
                <w:szCs w:val="21"/>
              </w:rPr>
              <w:t>要</w:t>
            </w:r>
          </w:p>
          <w:p>
            <w:pPr>
              <w:adjustRightInd w:val="0"/>
              <w:snapToGrid w:val="0"/>
              <w:spacing w:line="240" w:lineRule="auto"/>
              <w:jc w:val="center"/>
              <w:rPr>
                <w:rFonts w:hint="eastAsia" w:ascii="黑体" w:hAnsi="黑体" w:eastAsia="黑体" w:cs="黑体"/>
                <w:b/>
                <w:bCs/>
                <w:color w:val="000000"/>
                <w:spacing w:val="-6"/>
                <w:sz w:val="21"/>
                <w:szCs w:val="21"/>
              </w:rPr>
            </w:pPr>
            <w:r>
              <w:rPr>
                <w:rFonts w:hint="eastAsia" w:ascii="黑体" w:hAnsi="黑体" w:eastAsia="黑体" w:cs="黑体"/>
                <w:color w:val="000000"/>
                <w:spacing w:val="-6"/>
                <w:sz w:val="21"/>
                <w:szCs w:val="21"/>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53"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1</w:t>
            </w:r>
          </w:p>
        </w:tc>
        <w:tc>
          <w:tcPr>
            <w:tcW w:w="1954"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静曲强度</w:t>
            </w:r>
          </w:p>
        </w:tc>
        <w:tc>
          <w:tcPr>
            <w:tcW w:w="2155"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GB/T 11718-2021</w:t>
            </w:r>
          </w:p>
        </w:tc>
        <w:tc>
          <w:tcPr>
            <w:tcW w:w="687" w:type="dxa"/>
            <w:vAlign w:val="top"/>
          </w:tcPr>
          <w:p>
            <w:pPr>
              <w:spacing w:line="240" w:lineRule="auto"/>
              <w:jc w:val="center"/>
              <w:rPr>
                <w:rFonts w:hint="eastAsia" w:ascii="宋体" w:hAnsi="宋体" w:eastAsia="宋体" w:cs="宋体"/>
                <w:color w:val="000000"/>
                <w:spacing w:val="-6"/>
                <w:kern w:val="0"/>
                <w:sz w:val="21"/>
                <w:szCs w:val="21"/>
              </w:rPr>
            </w:pPr>
          </w:p>
        </w:tc>
        <w:tc>
          <w:tcPr>
            <w:tcW w:w="844"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92" w:type="dxa"/>
            <w:vAlign w:val="top"/>
          </w:tcPr>
          <w:p>
            <w:pPr>
              <w:spacing w:line="240" w:lineRule="auto"/>
              <w:jc w:val="center"/>
              <w:rPr>
                <w:rFonts w:hint="eastAsia" w:ascii="宋体" w:hAnsi="宋体" w:eastAsia="宋体" w:cs="宋体"/>
                <w:color w:val="000000"/>
                <w:spacing w:val="-6"/>
                <w:kern w:val="0"/>
                <w:sz w:val="21"/>
                <w:szCs w:val="21"/>
              </w:rPr>
            </w:pPr>
          </w:p>
        </w:tc>
        <w:tc>
          <w:tcPr>
            <w:tcW w:w="781"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56" w:type="dxa"/>
            <w:vAlign w:val="top"/>
          </w:tcPr>
          <w:p>
            <w:pPr>
              <w:spacing w:line="240" w:lineRule="auto"/>
              <w:jc w:val="center"/>
              <w:rPr>
                <w:rFonts w:hint="eastAsia" w:ascii="宋体" w:hAnsi="宋体" w:eastAsia="宋体" w:cs="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53"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2</w:t>
            </w:r>
          </w:p>
        </w:tc>
        <w:tc>
          <w:tcPr>
            <w:tcW w:w="1954"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内胶合强度</w:t>
            </w:r>
          </w:p>
        </w:tc>
        <w:tc>
          <w:tcPr>
            <w:tcW w:w="2155"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GB/T 11718-2021</w:t>
            </w:r>
          </w:p>
        </w:tc>
        <w:tc>
          <w:tcPr>
            <w:tcW w:w="687" w:type="dxa"/>
            <w:vAlign w:val="top"/>
          </w:tcPr>
          <w:p>
            <w:pPr>
              <w:spacing w:line="240" w:lineRule="auto"/>
              <w:jc w:val="center"/>
              <w:rPr>
                <w:rFonts w:hint="eastAsia" w:ascii="宋体" w:hAnsi="宋体" w:eastAsia="宋体" w:cs="宋体"/>
                <w:color w:val="000000"/>
                <w:spacing w:val="-6"/>
                <w:kern w:val="0"/>
                <w:sz w:val="21"/>
                <w:szCs w:val="21"/>
              </w:rPr>
            </w:pPr>
          </w:p>
        </w:tc>
        <w:tc>
          <w:tcPr>
            <w:tcW w:w="844"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92" w:type="dxa"/>
            <w:vAlign w:val="top"/>
          </w:tcPr>
          <w:p>
            <w:pPr>
              <w:spacing w:line="240" w:lineRule="auto"/>
              <w:jc w:val="center"/>
              <w:rPr>
                <w:rFonts w:hint="eastAsia" w:ascii="宋体" w:hAnsi="宋体" w:eastAsia="宋体" w:cs="宋体"/>
                <w:color w:val="000000"/>
                <w:spacing w:val="-6"/>
                <w:kern w:val="0"/>
                <w:sz w:val="21"/>
                <w:szCs w:val="21"/>
              </w:rPr>
            </w:pPr>
          </w:p>
        </w:tc>
        <w:tc>
          <w:tcPr>
            <w:tcW w:w="781"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56" w:type="dxa"/>
            <w:vAlign w:val="top"/>
          </w:tcPr>
          <w:p>
            <w:pPr>
              <w:spacing w:line="240" w:lineRule="auto"/>
              <w:jc w:val="center"/>
              <w:rPr>
                <w:rFonts w:hint="eastAsia" w:ascii="宋体" w:hAnsi="宋体" w:eastAsia="宋体" w:cs="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53"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3</w:t>
            </w:r>
          </w:p>
        </w:tc>
        <w:tc>
          <w:tcPr>
            <w:tcW w:w="1954"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吸水厚度膨胀率</w:t>
            </w:r>
          </w:p>
        </w:tc>
        <w:tc>
          <w:tcPr>
            <w:tcW w:w="2155"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GB/T 11718-2021</w:t>
            </w:r>
          </w:p>
        </w:tc>
        <w:tc>
          <w:tcPr>
            <w:tcW w:w="687" w:type="dxa"/>
            <w:vAlign w:val="center"/>
          </w:tcPr>
          <w:p>
            <w:pPr>
              <w:spacing w:line="240" w:lineRule="auto"/>
              <w:jc w:val="center"/>
              <w:rPr>
                <w:rFonts w:hint="eastAsia" w:ascii="宋体" w:hAnsi="宋体" w:eastAsia="宋体" w:cs="宋体"/>
                <w:color w:val="000000"/>
                <w:spacing w:val="-6"/>
                <w:kern w:val="0"/>
                <w:sz w:val="21"/>
                <w:szCs w:val="21"/>
              </w:rPr>
            </w:pPr>
          </w:p>
        </w:tc>
        <w:tc>
          <w:tcPr>
            <w:tcW w:w="844"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92" w:type="dxa"/>
            <w:vAlign w:val="center"/>
          </w:tcPr>
          <w:p>
            <w:pPr>
              <w:spacing w:line="240" w:lineRule="auto"/>
              <w:jc w:val="center"/>
              <w:rPr>
                <w:rFonts w:hint="eastAsia" w:ascii="宋体" w:hAnsi="宋体" w:eastAsia="宋体" w:cs="宋体"/>
                <w:color w:val="000000"/>
                <w:spacing w:val="-6"/>
                <w:kern w:val="0"/>
                <w:sz w:val="21"/>
                <w:szCs w:val="21"/>
              </w:rPr>
            </w:pPr>
          </w:p>
        </w:tc>
        <w:tc>
          <w:tcPr>
            <w:tcW w:w="781"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56" w:type="dxa"/>
            <w:vAlign w:val="top"/>
          </w:tcPr>
          <w:p>
            <w:pPr>
              <w:spacing w:line="240" w:lineRule="auto"/>
              <w:jc w:val="center"/>
              <w:rPr>
                <w:rFonts w:hint="eastAsia" w:ascii="宋体" w:hAnsi="宋体" w:eastAsia="宋体" w:cs="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53"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4</w:t>
            </w:r>
          </w:p>
        </w:tc>
        <w:tc>
          <w:tcPr>
            <w:tcW w:w="1954"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甲醛释放量</w:t>
            </w:r>
            <w:r>
              <w:rPr>
                <w:rFonts w:hint="eastAsia" w:ascii="宋体" w:hAnsi="宋体" w:eastAsia="宋体" w:cs="宋体"/>
                <w:color w:val="000000"/>
                <w:spacing w:val="-6"/>
                <w:kern w:val="0"/>
                <w:sz w:val="21"/>
                <w:szCs w:val="21"/>
                <w:vertAlign w:val="superscript"/>
              </w:rPr>
              <w:t>a</w:t>
            </w:r>
          </w:p>
        </w:tc>
        <w:tc>
          <w:tcPr>
            <w:tcW w:w="2155" w:type="dxa"/>
            <w:vAlign w:val="center"/>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GB 18580-2017</w:t>
            </w:r>
          </w:p>
        </w:tc>
        <w:tc>
          <w:tcPr>
            <w:tcW w:w="687"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844" w:type="dxa"/>
            <w:vAlign w:val="top"/>
          </w:tcPr>
          <w:p>
            <w:pPr>
              <w:spacing w:line="240" w:lineRule="auto"/>
              <w:jc w:val="center"/>
              <w:rPr>
                <w:rFonts w:hint="eastAsia" w:ascii="宋体" w:hAnsi="宋体" w:eastAsia="宋体" w:cs="宋体"/>
                <w:color w:val="000000"/>
                <w:spacing w:val="-6"/>
                <w:kern w:val="0"/>
                <w:sz w:val="21"/>
                <w:szCs w:val="21"/>
              </w:rPr>
            </w:pPr>
          </w:p>
        </w:tc>
        <w:tc>
          <w:tcPr>
            <w:tcW w:w="792" w:type="dxa"/>
            <w:vAlign w:val="top"/>
          </w:tcPr>
          <w:p>
            <w:pPr>
              <w:spacing w:line="240" w:lineRule="auto"/>
              <w:jc w:val="center"/>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w:t>
            </w:r>
          </w:p>
        </w:tc>
        <w:tc>
          <w:tcPr>
            <w:tcW w:w="781" w:type="dxa"/>
            <w:vAlign w:val="top"/>
          </w:tcPr>
          <w:p>
            <w:pPr>
              <w:spacing w:line="240" w:lineRule="auto"/>
              <w:jc w:val="center"/>
              <w:rPr>
                <w:rFonts w:hint="eastAsia" w:ascii="宋体" w:hAnsi="宋体" w:eastAsia="宋体" w:cs="宋体"/>
                <w:color w:val="000000"/>
                <w:spacing w:val="-6"/>
                <w:kern w:val="0"/>
                <w:sz w:val="21"/>
                <w:szCs w:val="21"/>
              </w:rPr>
            </w:pPr>
          </w:p>
        </w:tc>
        <w:tc>
          <w:tcPr>
            <w:tcW w:w="756" w:type="dxa"/>
            <w:vAlign w:val="top"/>
          </w:tcPr>
          <w:p>
            <w:pPr>
              <w:spacing w:line="240" w:lineRule="auto"/>
              <w:jc w:val="center"/>
              <w:rPr>
                <w:rFonts w:hint="eastAsia" w:ascii="宋体" w:hAnsi="宋体" w:eastAsia="宋体" w:cs="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522" w:type="dxa"/>
            <w:gridSpan w:val="8"/>
            <w:vAlign w:val="center"/>
          </w:tcPr>
          <w:p>
            <w:pPr>
              <w:spacing w:line="240" w:lineRule="auto"/>
              <w:rPr>
                <w:rFonts w:hint="eastAsia" w:ascii="宋体" w:hAnsi="宋体" w:eastAsia="宋体" w:cs="宋体"/>
                <w:color w:val="000000"/>
                <w:spacing w:val="-6"/>
                <w:sz w:val="21"/>
                <w:szCs w:val="21"/>
              </w:rPr>
            </w:pPr>
            <w:r>
              <w:rPr>
                <w:rFonts w:hint="eastAsia" w:ascii="宋体" w:hAnsi="宋体" w:eastAsia="宋体" w:cs="宋体"/>
                <w:color w:val="000000"/>
                <w:spacing w:val="-6"/>
                <w:kern w:val="0"/>
                <w:sz w:val="21"/>
                <w:szCs w:val="21"/>
              </w:rPr>
              <w:t>注：a甲醛释放量不进行复检。</w:t>
            </w:r>
          </w:p>
        </w:tc>
      </w:tr>
    </w:tbl>
    <w:p>
      <w:pPr>
        <w:widowControl/>
        <w:autoSpaceDE w:val="0"/>
        <w:autoSpaceDN w:val="0"/>
        <w:spacing w:line="400" w:lineRule="exact"/>
        <w:ind w:firstLine="456" w:firstLineChars="200"/>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注：1.执行企业标准、团体标准、地方标准的产品，检验项目参照上述内容执行。</w:t>
      </w:r>
    </w:p>
    <w:p>
      <w:pPr>
        <w:widowControl/>
        <w:autoSpaceDE w:val="0"/>
        <w:autoSpaceDN w:val="0"/>
        <w:spacing w:line="400" w:lineRule="exact"/>
        <w:ind w:firstLine="912" w:firstLineChars="400"/>
        <w:rPr>
          <w:rFonts w:hint="eastAsia" w:ascii="宋体" w:hAnsi="宋体" w:eastAsia="宋体" w:cs="宋体"/>
          <w:color w:val="000000"/>
          <w:spacing w:val="-6"/>
          <w:kern w:val="0"/>
          <w:sz w:val="21"/>
          <w:szCs w:val="21"/>
        </w:rPr>
      </w:pPr>
      <w:r>
        <w:rPr>
          <w:rFonts w:hint="eastAsia" w:ascii="宋体" w:hAnsi="宋体" w:eastAsia="宋体" w:cs="宋体"/>
          <w:color w:val="000000"/>
          <w:spacing w:val="-6"/>
          <w:kern w:val="0"/>
          <w:sz w:val="21"/>
          <w:szCs w:val="21"/>
        </w:rPr>
        <w:t>2.凡是注日期的文件，其随后所有的修改单（不包括勘误的内容）或修订版不适用于本细则。凡是不注日期的文件，其最新版本适用于本细则。</w:t>
      </w:r>
    </w:p>
    <w:p>
      <w:pPr>
        <w:adjustRightInd w:val="0"/>
        <w:snapToGrid w:val="0"/>
        <w:spacing w:line="560" w:lineRule="exact"/>
        <w:ind w:firstLine="616" w:firstLineChars="200"/>
        <w:rPr>
          <w:rFonts w:eastAsia="黑体"/>
          <w:color w:val="000000"/>
          <w:spacing w:val="-6"/>
          <w:szCs w:val="32"/>
        </w:rPr>
      </w:pPr>
      <w:r>
        <w:rPr>
          <w:rFonts w:eastAsia="黑体"/>
          <w:color w:val="000000"/>
          <w:spacing w:val="-6"/>
          <w:szCs w:val="32"/>
        </w:rPr>
        <w:t>三、判定规则</w:t>
      </w:r>
    </w:p>
    <w:p>
      <w:pPr>
        <w:spacing w:line="560" w:lineRule="exact"/>
        <w:ind w:firstLine="616" w:firstLineChars="200"/>
        <w:rPr>
          <w:rFonts w:eastAsia="楷体_GB2312" w:cs="楷体_GB2312"/>
          <w:color w:val="000000"/>
          <w:spacing w:val="-6"/>
          <w:szCs w:val="32"/>
        </w:rPr>
      </w:pPr>
      <w:r>
        <w:rPr>
          <w:rFonts w:hint="eastAsia" w:eastAsia="楷体_GB2312" w:cs="楷体_GB2312"/>
          <w:color w:val="000000"/>
          <w:spacing w:val="-6"/>
          <w:szCs w:val="32"/>
        </w:rPr>
        <w:t>（一）依据标准</w:t>
      </w:r>
    </w:p>
    <w:p>
      <w:pPr>
        <w:widowControl/>
        <w:autoSpaceDE w:val="0"/>
        <w:autoSpaceDN w:val="0"/>
        <w:spacing w:line="560" w:lineRule="exact"/>
        <w:ind w:firstLine="616" w:firstLineChars="200"/>
        <w:rPr>
          <w:color w:val="000000"/>
          <w:spacing w:val="-6"/>
          <w:kern w:val="0"/>
          <w:szCs w:val="32"/>
        </w:rPr>
      </w:pPr>
      <w:r>
        <w:rPr>
          <w:rFonts w:hint="eastAsia"/>
          <w:color w:val="000000"/>
          <w:spacing w:val="-6"/>
          <w:kern w:val="0"/>
          <w:szCs w:val="32"/>
        </w:rPr>
        <w:t>1.强制性标准。</w:t>
      </w:r>
    </w:p>
    <w:p>
      <w:pPr>
        <w:widowControl/>
        <w:autoSpaceDE w:val="0"/>
        <w:autoSpaceDN w:val="0"/>
        <w:spacing w:line="560" w:lineRule="exact"/>
        <w:ind w:firstLine="616" w:firstLineChars="200"/>
        <w:rPr>
          <w:color w:val="000000"/>
          <w:spacing w:val="-6"/>
          <w:kern w:val="0"/>
          <w:szCs w:val="32"/>
        </w:rPr>
      </w:pPr>
      <w:r>
        <w:rPr>
          <w:rFonts w:hint="eastAsia"/>
          <w:color w:val="000000"/>
          <w:spacing w:val="-6"/>
          <w:kern w:val="0"/>
          <w:szCs w:val="32"/>
        </w:rPr>
        <w:t>GB 18580-2017 《室内装饰装修材料  人造板及其制品中甲醛释放限量》</w:t>
      </w:r>
    </w:p>
    <w:p>
      <w:pPr>
        <w:widowControl/>
        <w:autoSpaceDE w:val="0"/>
        <w:autoSpaceDN w:val="0"/>
        <w:spacing w:line="560" w:lineRule="exact"/>
        <w:ind w:firstLine="616" w:firstLineChars="200"/>
        <w:rPr>
          <w:color w:val="000000"/>
          <w:spacing w:val="-6"/>
          <w:kern w:val="0"/>
          <w:szCs w:val="32"/>
        </w:rPr>
      </w:pPr>
      <w:r>
        <w:rPr>
          <w:rFonts w:hint="eastAsia"/>
          <w:color w:val="000000"/>
          <w:spacing w:val="-6"/>
          <w:kern w:val="0"/>
          <w:szCs w:val="32"/>
        </w:rPr>
        <w:t>2.推荐性标准。</w:t>
      </w:r>
    </w:p>
    <w:p>
      <w:pPr>
        <w:widowControl/>
        <w:autoSpaceDE w:val="0"/>
        <w:autoSpaceDN w:val="0"/>
        <w:spacing w:line="560" w:lineRule="exact"/>
        <w:ind w:firstLine="616" w:firstLineChars="200"/>
        <w:rPr>
          <w:color w:val="000000"/>
          <w:spacing w:val="-6"/>
          <w:kern w:val="0"/>
          <w:szCs w:val="32"/>
        </w:rPr>
      </w:pPr>
      <w:r>
        <w:rPr>
          <w:rFonts w:hint="eastAsia"/>
          <w:color w:val="000000"/>
          <w:spacing w:val="-6"/>
          <w:kern w:val="0"/>
          <w:szCs w:val="32"/>
        </w:rPr>
        <w:t>GB/T 9846-2015 《普通胶合板》</w:t>
      </w:r>
    </w:p>
    <w:p>
      <w:pPr>
        <w:widowControl/>
        <w:autoSpaceDE w:val="0"/>
        <w:autoSpaceDN w:val="0"/>
        <w:spacing w:line="560" w:lineRule="exact"/>
        <w:ind w:firstLine="616" w:firstLineChars="200"/>
        <w:rPr>
          <w:color w:val="000000"/>
          <w:spacing w:val="-6"/>
          <w:kern w:val="0"/>
          <w:szCs w:val="32"/>
        </w:rPr>
      </w:pPr>
      <w:r>
        <w:rPr>
          <w:rFonts w:hint="eastAsia"/>
          <w:color w:val="000000"/>
          <w:spacing w:val="-6"/>
          <w:kern w:val="0"/>
          <w:szCs w:val="32"/>
        </w:rPr>
        <w:t>GB/T 5849-2016 《细木工板》</w:t>
      </w:r>
    </w:p>
    <w:p>
      <w:pPr>
        <w:widowControl/>
        <w:autoSpaceDE w:val="0"/>
        <w:autoSpaceDN w:val="0"/>
        <w:spacing w:line="560" w:lineRule="exact"/>
        <w:ind w:firstLine="616" w:firstLineChars="200"/>
        <w:rPr>
          <w:color w:val="000000"/>
          <w:spacing w:val="-6"/>
          <w:kern w:val="0"/>
          <w:szCs w:val="32"/>
        </w:rPr>
      </w:pPr>
      <w:r>
        <w:rPr>
          <w:rFonts w:hint="eastAsia"/>
          <w:color w:val="000000"/>
          <w:spacing w:val="-6"/>
          <w:kern w:val="0"/>
          <w:szCs w:val="32"/>
        </w:rPr>
        <w:t>GB/T 4897-2015 《刨花板》</w:t>
      </w:r>
    </w:p>
    <w:p>
      <w:pPr>
        <w:widowControl/>
        <w:autoSpaceDE w:val="0"/>
        <w:autoSpaceDN w:val="0"/>
        <w:spacing w:line="560" w:lineRule="exact"/>
        <w:ind w:firstLine="616" w:firstLineChars="200"/>
        <w:rPr>
          <w:color w:val="000000"/>
          <w:spacing w:val="-6"/>
          <w:kern w:val="0"/>
          <w:szCs w:val="32"/>
        </w:rPr>
      </w:pPr>
      <w:r>
        <w:rPr>
          <w:rFonts w:hint="eastAsia"/>
          <w:color w:val="000000"/>
          <w:spacing w:val="-6"/>
          <w:kern w:val="0"/>
          <w:szCs w:val="32"/>
        </w:rPr>
        <w:t>GB/T 11718-2021 《中密度纤维板》（</w:t>
      </w:r>
      <w:r>
        <w:rPr>
          <w:color w:val="000000"/>
          <w:spacing w:val="-6"/>
          <w:kern w:val="0"/>
          <w:szCs w:val="32"/>
        </w:rPr>
        <w:t>生产日期为</w:t>
      </w:r>
      <w:r>
        <w:rPr>
          <w:rFonts w:hint="eastAsia"/>
          <w:color w:val="000000"/>
          <w:spacing w:val="-6"/>
          <w:kern w:val="0"/>
          <w:szCs w:val="32"/>
        </w:rPr>
        <w:t>2022-06-01后</w:t>
      </w:r>
      <w:r>
        <w:rPr>
          <w:color w:val="000000"/>
          <w:spacing w:val="-6"/>
          <w:kern w:val="0"/>
          <w:szCs w:val="32"/>
        </w:rPr>
        <w:t>适用</w:t>
      </w:r>
      <w:r>
        <w:rPr>
          <w:rFonts w:hint="eastAsia"/>
          <w:color w:val="000000"/>
          <w:spacing w:val="-6"/>
          <w:kern w:val="0"/>
          <w:szCs w:val="32"/>
        </w:rPr>
        <w:t>）</w:t>
      </w:r>
    </w:p>
    <w:p>
      <w:pPr>
        <w:widowControl/>
        <w:autoSpaceDE w:val="0"/>
        <w:autoSpaceDN w:val="0"/>
        <w:spacing w:line="560" w:lineRule="exact"/>
        <w:ind w:firstLine="616" w:firstLineChars="200"/>
        <w:rPr>
          <w:color w:val="000000"/>
          <w:spacing w:val="-6"/>
          <w:kern w:val="0"/>
          <w:szCs w:val="32"/>
        </w:rPr>
      </w:pPr>
      <w:r>
        <w:rPr>
          <w:color w:val="000000"/>
          <w:spacing w:val="-6"/>
          <w:kern w:val="0"/>
          <w:szCs w:val="32"/>
        </w:rPr>
        <w:t>现行有效的企业标准、团体标准、地方标准及产品明示质量要求。</w:t>
      </w:r>
    </w:p>
    <w:p>
      <w:pPr>
        <w:spacing w:line="560" w:lineRule="exact"/>
        <w:ind w:firstLine="616" w:firstLineChars="200"/>
        <w:rPr>
          <w:rFonts w:eastAsia="楷体_GB2312" w:cs="楷体_GB2312"/>
          <w:color w:val="000000"/>
          <w:spacing w:val="-6"/>
          <w:szCs w:val="32"/>
        </w:rPr>
      </w:pPr>
      <w:r>
        <w:rPr>
          <w:rFonts w:hint="eastAsia" w:eastAsia="楷体_GB2312" w:cs="楷体_GB2312"/>
          <w:color w:val="000000"/>
          <w:spacing w:val="-6"/>
          <w:szCs w:val="32"/>
        </w:rPr>
        <w:t>（二）判定原则</w:t>
      </w:r>
    </w:p>
    <w:p>
      <w:pPr>
        <w:widowControl/>
        <w:autoSpaceDE w:val="0"/>
        <w:autoSpaceDN w:val="0"/>
        <w:spacing w:line="560" w:lineRule="exact"/>
        <w:ind w:firstLine="616" w:firstLineChars="200"/>
        <w:rPr>
          <w:color w:val="000000"/>
          <w:spacing w:val="-6"/>
          <w:kern w:val="0"/>
          <w:szCs w:val="32"/>
        </w:rPr>
      </w:pPr>
      <w:r>
        <w:rPr>
          <w:rFonts w:hint="eastAsia"/>
          <w:color w:val="000000"/>
          <w:spacing w:val="-6"/>
          <w:kern w:val="0"/>
          <w:szCs w:val="32"/>
        </w:rPr>
        <w:t>经检验，检验项目全部合格，判定为抽取的样本所检项目未检出不合格；检验项目中任一项或一项以上不合格，判定为被抽查产品不合格。</w:t>
      </w:r>
    </w:p>
    <w:p>
      <w:pPr>
        <w:widowControl/>
        <w:autoSpaceDE w:val="0"/>
        <w:autoSpaceDN w:val="0"/>
        <w:spacing w:line="560" w:lineRule="exact"/>
        <w:ind w:firstLine="616" w:firstLineChars="200"/>
        <w:rPr>
          <w:color w:val="000000"/>
          <w:spacing w:val="-6"/>
          <w:kern w:val="0"/>
          <w:szCs w:val="32"/>
        </w:rPr>
      </w:pPr>
      <w:r>
        <w:rPr>
          <w:rFonts w:hint="eastAsia"/>
          <w:color w:val="000000"/>
          <w:spacing w:val="-6"/>
          <w:kern w:val="0"/>
          <w:szCs w:val="32"/>
        </w:rPr>
        <w:t>当被检样品明示的质量要求优于监督抽查实施细则中依据的标准要求时，应按被检样品明示的质量要求判定；</w:t>
      </w:r>
    </w:p>
    <w:p>
      <w:pPr>
        <w:widowControl/>
        <w:autoSpaceDE w:val="0"/>
        <w:autoSpaceDN w:val="0"/>
        <w:spacing w:line="560" w:lineRule="exact"/>
        <w:ind w:firstLine="616" w:firstLineChars="200"/>
        <w:rPr>
          <w:color w:val="000000"/>
          <w:spacing w:val="-6"/>
          <w:kern w:val="0"/>
          <w:szCs w:val="32"/>
        </w:rPr>
      </w:pPr>
      <w:r>
        <w:rPr>
          <w:rFonts w:hint="eastAsia"/>
          <w:color w:val="000000"/>
          <w:spacing w:val="-6"/>
          <w:kern w:val="0"/>
          <w:szCs w:val="32"/>
        </w:rPr>
        <w:t>当被检样品明示的质量要求劣于或不包含监督抽查实施细则中依据的强制性标准要求时，应按照强制性标准要求判定；</w:t>
      </w:r>
    </w:p>
    <w:p>
      <w:pPr>
        <w:widowControl/>
        <w:autoSpaceDE w:val="0"/>
        <w:autoSpaceDN w:val="0"/>
        <w:spacing w:line="560" w:lineRule="exact"/>
        <w:ind w:firstLine="616" w:firstLineChars="200"/>
        <w:rPr>
          <w:color w:val="000000"/>
          <w:spacing w:val="-6"/>
          <w:kern w:val="0"/>
          <w:szCs w:val="32"/>
        </w:rPr>
      </w:pPr>
      <w:r>
        <w:rPr>
          <w:rFonts w:hint="eastAsia"/>
          <w:color w:val="000000"/>
          <w:spacing w:val="-6"/>
          <w:kern w:val="0"/>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widowControl/>
        <w:autoSpaceDE w:val="0"/>
        <w:autoSpaceDN w:val="0"/>
        <w:spacing w:line="560" w:lineRule="exact"/>
        <w:ind w:firstLine="616" w:firstLineChars="200"/>
        <w:rPr>
          <w:color w:val="000000"/>
          <w:spacing w:val="-6"/>
          <w:kern w:val="0"/>
          <w:szCs w:val="32"/>
        </w:rPr>
      </w:pPr>
      <w:r>
        <w:rPr>
          <w:rFonts w:hint="eastAsia"/>
          <w:color w:val="000000"/>
          <w:spacing w:val="-6"/>
          <w:kern w:val="0"/>
          <w:szCs w:val="32"/>
        </w:rPr>
        <w:t>当被检样品明示的质量要求不包含监督抽查实施细则中依据的推荐性标准要求时，该指标不参与判定，但应在检验报告中作出说明；</w:t>
      </w:r>
    </w:p>
    <w:p>
      <w:pPr>
        <w:widowControl/>
        <w:autoSpaceDE w:val="0"/>
        <w:autoSpaceDN w:val="0"/>
        <w:spacing w:line="560" w:lineRule="exact"/>
        <w:ind w:firstLine="616" w:firstLineChars="200"/>
        <w:rPr>
          <w:color w:val="000000"/>
          <w:spacing w:val="-6"/>
          <w:kern w:val="0"/>
          <w:szCs w:val="32"/>
        </w:rPr>
      </w:pPr>
      <w:r>
        <w:rPr>
          <w:rFonts w:hint="eastAsia"/>
          <w:color w:val="000000"/>
          <w:spacing w:val="-6"/>
          <w:kern w:val="0"/>
          <w:szCs w:val="32"/>
        </w:rPr>
        <w:t>当被检样品未能提供有效的企业标准时，按相关国家或行业标准进行判定；</w:t>
      </w:r>
    </w:p>
    <w:p>
      <w:pPr>
        <w:widowControl/>
        <w:autoSpaceDE w:val="0"/>
        <w:autoSpaceDN w:val="0"/>
        <w:spacing w:line="560" w:lineRule="exact"/>
        <w:ind w:firstLine="616" w:firstLineChars="200"/>
        <w:rPr>
          <w:color w:val="000000"/>
          <w:spacing w:val="-6"/>
          <w:kern w:val="0"/>
          <w:szCs w:val="32"/>
        </w:rPr>
      </w:pPr>
      <w:r>
        <w:rPr>
          <w:rFonts w:hint="eastAsia"/>
          <w:color w:val="000000"/>
          <w:spacing w:val="-6"/>
          <w:kern w:val="0"/>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widowControl/>
        <w:autoSpaceDE w:val="0"/>
        <w:autoSpaceDN w:val="0"/>
        <w:spacing w:line="560" w:lineRule="exact"/>
        <w:ind w:firstLine="616" w:firstLineChars="200"/>
        <w:rPr>
          <w:color w:val="000000"/>
          <w:spacing w:val="-6"/>
          <w:kern w:val="0"/>
          <w:szCs w:val="32"/>
        </w:rPr>
      </w:pPr>
      <w:bookmarkStart w:id="0" w:name="_GoBack"/>
      <w:r>
        <w:rPr>
          <w:rFonts w:hint="eastAsia"/>
          <w:color w:val="000000"/>
          <w:spacing w:val="-6"/>
          <w:kern w:val="0"/>
          <w:szCs w:val="32"/>
        </w:rPr>
        <w:t>按照产品质量相关法律法规的规定判定。</w:t>
      </w:r>
    </w:p>
    <w:bookmarkEnd w:id="0"/>
    <w:p>
      <w:pPr>
        <w:widowControl/>
        <w:autoSpaceDE w:val="0"/>
        <w:autoSpaceDN w:val="0"/>
        <w:spacing w:line="560" w:lineRule="exact"/>
        <w:ind w:firstLine="616" w:firstLineChars="200"/>
        <w:rPr>
          <w:color w:val="000000"/>
          <w:spacing w:val="-6"/>
          <w:kern w:val="0"/>
          <w:szCs w:val="32"/>
        </w:rPr>
      </w:pPr>
      <w:r>
        <w:rPr>
          <w:rFonts w:hint="eastAsia"/>
          <w:color w:val="000000"/>
          <w:spacing w:val="-6"/>
          <w:kern w:val="0"/>
          <w:szCs w:val="32"/>
        </w:rPr>
        <w:t>检验中发现因样品失效或者其他原因致使检验无法进行的，检验人员应如实记录，并提供相关证明材料，报送组织监督抽查的市场监管部门。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30612"/>
    <w:rsid w:val="00030612"/>
    <w:rsid w:val="00111F90"/>
    <w:rsid w:val="00650692"/>
    <w:rsid w:val="008267FD"/>
    <w:rsid w:val="008B368E"/>
    <w:rsid w:val="00A907B2"/>
    <w:rsid w:val="00C21675"/>
    <w:rsid w:val="00C31559"/>
    <w:rsid w:val="00D01360"/>
    <w:rsid w:val="00EA1F80"/>
    <w:rsid w:val="00FF0FED"/>
    <w:rsid w:val="1CFF7421"/>
    <w:rsid w:val="51004507"/>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8"/>
    <w:qFormat/>
    <w:uiPriority w:val="0"/>
    <w:pPr>
      <w:jc w:val="center"/>
      <w:outlineLvl w:val="0"/>
    </w:pPr>
    <w:rPr>
      <w:rFonts w:ascii="方正小标宋简体" w:eastAsia="方正小标宋简体"/>
      <w:kern w:val="44"/>
      <w:sz w:val="38"/>
    </w:rPr>
  </w:style>
  <w:style w:type="character" w:default="1" w:styleId="5">
    <w:name w:val="Default Paragraph Font"/>
    <w:unhideWhenUsed/>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table" w:styleId="7">
    <w:name w:val="Table Grid"/>
    <w:qFormat/>
    <w:uiPriority w:val="0"/>
    <w:rPr>
      <w:rFonts w:ascii="Times New Roman" w:hAnsi="Times New Roman" w:eastAsia="宋体" w:cs="Times New Roman"/>
      <w:kern w:val="0"/>
      <w:sz w:val="20"/>
      <w:szCs w:val="20"/>
    </w:rPr>
    <w:tblPr>
      <w:tblStyle w:val="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extDirection w:val="lrTb"/>
    </w:tcPr>
  </w:style>
  <w:style w:type="character" w:customStyle="1" w:styleId="8">
    <w:name w:val="标题 1 Char"/>
    <w:basedOn w:val="5"/>
    <w:link w:val="2"/>
    <w:uiPriority w:val="0"/>
    <w:rPr>
      <w:rFonts w:ascii="方正小标宋简体" w:hAnsi="Times New Roman" w:eastAsia="方正小标宋简体" w:cs="Times New Roman"/>
      <w:kern w:val="44"/>
      <w:sz w:val="38"/>
      <w:szCs w:val="24"/>
    </w:rPr>
  </w:style>
  <w:style w:type="character" w:customStyle="1" w:styleId="9">
    <w:name w:val="页眉 Char"/>
    <w:basedOn w:val="5"/>
    <w:link w:val="4"/>
    <w:uiPriority w:val="0"/>
    <w:rPr>
      <w:rFonts w:ascii="Times New Roman" w:hAnsi="Times New Roman" w:eastAsia="仿宋_GB2312" w:cs="Times New Roman"/>
      <w:sz w:val="18"/>
      <w:szCs w:val="18"/>
    </w:rPr>
  </w:style>
  <w:style w:type="character" w:customStyle="1" w:styleId="10">
    <w:name w:val="页脚 Char"/>
    <w:basedOn w:val="5"/>
    <w:link w:val="3"/>
    <w:uiPriority w:val="0"/>
    <w:rPr>
      <w:rFonts w:ascii="Times New Roman" w:hAnsi="Times New Roman" w:eastAsia="仿宋_GB2312" w:cs="Times New Roman"/>
      <w:sz w:val="18"/>
      <w:szCs w:val="18"/>
    </w:rPr>
  </w:style>
  <w:style w:type="table" w:customStyle="1" w:styleId="11">
    <w:name w:val="Table Normal"/>
    <w:unhideWhenUsed/>
    <w:qFormat/>
    <w:uiPriority w:val="2"/>
    <w:rPr>
      <w:rFonts w:ascii="Times New Roman" w:hAnsi="Times New Roman" w:eastAsia="宋体" w:cs="Times New Roman"/>
      <w:kern w:val="0"/>
      <w:sz w:val="20"/>
      <w:szCs w:val="20"/>
    </w:rPr>
    <w:tblPr>
      <w:tblStyle w:val="6"/>
      <w:tblLayout w:type="fixed"/>
      <w:tblCellMar>
        <w:top w:w="0" w:type="dxa"/>
        <w:left w:w="0" w:type="dxa"/>
        <w:bottom w:w="0" w:type="dxa"/>
        <w:right w:w="0" w:type="dxa"/>
      </w:tblCellMar>
    </w:tblPr>
    <w:tcPr>
      <w:textDirection w:val="lrTb"/>
    </w:tc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366</Words>
  <Characters>2090</Characters>
  <Lines>17</Lines>
  <Paragraphs>4</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2024-04-25T07:22:00Z</dcterms:created>
  <dc:creator>Microsoft</dc:creator>
  <cp:lastModifiedBy>杨艳华</cp:lastModifiedBy>
  <dcterms:modified xsi:type="dcterms:W3CDTF">2024-06-17T02:32:07Z</dcterms:modified>
  <dc:title>附件9</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