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4BDFB9">
      <w:pPr>
        <w:widowControl w:val="0"/>
        <w:wordWrap/>
        <w:snapToGrid/>
        <w:spacing w:line="540" w:lineRule="exact"/>
        <w:textAlignment w:val="auto"/>
        <w:rPr>
          <w:rFonts w:hint="default" w:ascii="Times New Roman" w:hAnsi="Times New Roman" w:cs="Times New Roman"/>
          <w:b/>
          <w:bCs/>
          <w:color w:val="auto"/>
          <w:sz w:val="30"/>
          <w:szCs w:val="30"/>
          <w:highlight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  <w:lang w:val="en-US" w:eastAsia="zh-CN"/>
        </w:rPr>
        <w:t>附件2</w:t>
      </w:r>
    </w:p>
    <w:p w14:paraId="5BF03A94">
      <w:pPr>
        <w:widowControl w:val="0"/>
        <w:wordWrap/>
        <w:snapToGrid/>
        <w:spacing w:line="54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44"/>
          <w:szCs w:val="44"/>
          <w:highlight w:val="none"/>
          <w:lang w:val="en-US" w:eastAsia="zh-CN"/>
        </w:rPr>
      </w:pPr>
      <w:bookmarkStart w:id="0" w:name="_GoBack"/>
      <w:bookmarkEnd w:id="0"/>
    </w:p>
    <w:p w14:paraId="02BB3036">
      <w:pPr>
        <w:widowControl w:val="0"/>
        <w:wordWrap/>
        <w:snapToGrid/>
        <w:spacing w:line="540" w:lineRule="exact"/>
        <w:jc w:val="center"/>
        <w:textAlignment w:val="auto"/>
        <w:rPr>
          <w:rFonts w:hint="default" w:ascii="Times New Roman" w:hAnsi="Times New Roman" w:cs="Times New Roman"/>
          <w:b/>
          <w:bCs/>
          <w:color w:val="auto"/>
          <w:sz w:val="44"/>
          <w:szCs w:val="44"/>
          <w:highlight w:val="none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44"/>
          <w:szCs w:val="44"/>
          <w:highlight w:val="none"/>
          <w:lang w:val="en-US" w:eastAsia="zh-CN"/>
        </w:rPr>
        <w:t>医疗卫生救援事件分级标准</w:t>
      </w:r>
    </w:p>
    <w:p w14:paraId="01F9826C">
      <w:pPr>
        <w:widowControl w:val="0"/>
        <w:wordWrap/>
        <w:snapToGrid/>
        <w:spacing w:line="540" w:lineRule="exact"/>
        <w:textAlignment w:val="auto"/>
        <w:rPr>
          <w:rFonts w:hint="default" w:ascii="Times New Roman" w:hAnsi="Times New Roman" w:cs="Times New Roman"/>
          <w:b/>
          <w:bCs/>
          <w:color w:val="auto"/>
          <w:sz w:val="32"/>
          <w:szCs w:val="32"/>
          <w:highlight w:val="none"/>
          <w:lang w:val="en-US" w:eastAsia="zh-CN"/>
        </w:rPr>
      </w:pPr>
    </w:p>
    <w:p w14:paraId="0C710F69">
      <w:pPr>
        <w:widowControl w:val="0"/>
        <w:wordWrap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一、特别重大医疗卫生救援事件</w:t>
      </w:r>
    </w:p>
    <w:p w14:paraId="508E70BC">
      <w:pPr>
        <w:widowControl w:val="0"/>
        <w:wordWrap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（一）一次事件伤亡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人以上，且危重人员多；或者核事故和突发放射事件、化学品泄漏事故导致大量人员伤亡。</w:t>
      </w:r>
    </w:p>
    <w:p w14:paraId="23BE3328">
      <w:pPr>
        <w:widowControl w:val="0"/>
        <w:wordWrap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（二）跨省(区)、有特别严重人员伤亡的突发事件。</w:t>
      </w:r>
    </w:p>
    <w:p w14:paraId="4917ECAB">
      <w:pPr>
        <w:widowControl w:val="0"/>
        <w:wordWrap/>
        <w:adjustRightInd/>
        <w:snapToGrid/>
        <w:spacing w:line="540" w:lineRule="exact"/>
        <w:ind w:firstLine="640" w:firstLineChars="200"/>
        <w:textAlignment w:val="auto"/>
        <w:rPr>
          <w:rFonts w:hint="eastAsia" w:ascii="Times New Roman" w:hAnsi="Times New Roman" w:eastAsia="楷体_GB2312" w:cs="楷体_GB2312"/>
          <w:b w:val="0"/>
          <w:bCs w:val="0"/>
          <w:color w:val="auto"/>
          <w:sz w:val="30"/>
          <w:szCs w:val="30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（三）其他需要开展医疗卫生救援工作的特别重大突发事件。</w:t>
      </w:r>
    </w:p>
    <w:p w14:paraId="67A9CFF3">
      <w:pPr>
        <w:widowControl w:val="0"/>
        <w:wordWrap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二、重大医疗卫生救援事件</w:t>
      </w:r>
    </w:p>
    <w:p w14:paraId="6E26354D">
      <w:pPr>
        <w:widowControl w:val="0"/>
        <w:wordWrap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（一）一次事件伤亡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50人以上、100人以下，其中，死亡和危重病例超过5例的突发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事件。</w:t>
      </w:r>
    </w:p>
    <w:p w14:paraId="666B1501">
      <w:pPr>
        <w:widowControl w:val="0"/>
        <w:wordWrap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（二）跨地级以上市，有严重人员伤亡的突发事件。</w:t>
      </w:r>
    </w:p>
    <w:p w14:paraId="12EBCE89">
      <w:pPr>
        <w:widowControl w:val="0"/>
        <w:wordWrap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（三）其他需要开展医疗卫生救援工作的重大突发事件。</w:t>
      </w:r>
    </w:p>
    <w:p w14:paraId="2B2A2D77">
      <w:pPr>
        <w:widowControl w:val="0"/>
        <w:wordWrap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三、较大医疗卫生救援事件</w:t>
      </w:r>
    </w:p>
    <w:p w14:paraId="3F57509F">
      <w:pPr>
        <w:widowControl w:val="0"/>
        <w:wordWrap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（一）一次事件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伤亡30人以上、50人以下，其中，死亡和危重病例超过3例的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突发事件。</w:t>
      </w:r>
    </w:p>
    <w:p w14:paraId="6C288713">
      <w:pPr>
        <w:widowControl w:val="0"/>
        <w:wordWrap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（二）其他需要开展医疗卫生救援工作的较大突发事件。</w:t>
      </w:r>
    </w:p>
    <w:p w14:paraId="6EE38488">
      <w:pPr>
        <w:widowControl w:val="0"/>
        <w:wordWrap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四、一般医疗卫生救援事件</w:t>
      </w:r>
    </w:p>
    <w:p w14:paraId="000A1379">
      <w:pPr>
        <w:widowControl w:val="0"/>
        <w:numPr>
          <w:ilvl w:val="0"/>
          <w:numId w:val="0"/>
        </w:numPr>
        <w:wordWrap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（一）一次事件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伤亡10人以上、30人以下，其中，死亡和危重病例超过1例的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突发事件。</w:t>
      </w:r>
    </w:p>
    <w:p w14:paraId="0884889A">
      <w:pPr>
        <w:widowControl w:val="0"/>
        <w:wordWrap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sectPr>
          <w:pgSz w:w="11906" w:h="16838"/>
          <w:pgMar w:top="2211" w:right="1474" w:bottom="1871" w:left="1587" w:header="851" w:footer="992" w:gutter="0"/>
          <w:pgNumType w:fmt="numberInDash"/>
          <w:cols w:space="720" w:num="1"/>
          <w:rtlGutter w:val="0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（二）其他需要开展医疗卫生救援工作的一般突发事件。</w:t>
      </w:r>
    </w:p>
    <w:p w14:paraId="0094050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altName w:val="仿宋_GB2312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cxNjgzODg4MDFlZmU3ZjQ4MTliZThlNjc2MzEyMjEifQ=="/>
  </w:docVars>
  <w:rsids>
    <w:rsidRoot w:val="6F05577C"/>
    <w:rsid w:val="6F055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华文中宋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2024-10-21T11:04:00Z</dcterms:created>
  <dc:creator>八牛</dc:creator>
  <cp:lastModifiedBy>八牛</cp:lastModifiedBy>
  <dcterms:modified xsi:type="dcterms:W3CDTF">2024-10-21T11:04:39Z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0291C1AC4658495581437AECE8BE27D8_11</vt:lpwstr>
  </property>
</Properties>
</file>