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napToGrid w:val="0"/>
        <w:spacing w:line="594" w:lineRule="exact"/>
        <w:jc w:val="left"/>
        <w:rPr>
          <w:rFonts w:hint="eastAsia" w:eastAsia="黑体" w:cs="Times New Roman"/>
          <w:bCs/>
          <w:color w:val="auto"/>
          <w:spacing w:val="-6"/>
          <w:sz w:val="32"/>
          <w:szCs w:val="32"/>
          <w:lang w:val="en-US" w:eastAsia="zh-CN"/>
        </w:rPr>
      </w:pPr>
      <w:r>
        <w:rPr>
          <w:rFonts w:hint="default" w:ascii="Times New Roman" w:hAnsi="Times New Roman" w:eastAsia="黑体" w:cs="Times New Roman"/>
          <w:bCs/>
          <w:color w:val="auto"/>
          <w:spacing w:val="-6"/>
          <w:sz w:val="32"/>
          <w:szCs w:val="32"/>
        </w:rPr>
        <w:t>附件</w:t>
      </w:r>
      <w:r>
        <w:rPr>
          <w:rFonts w:hint="eastAsia" w:eastAsia="黑体" w:cs="Times New Roman"/>
          <w:bCs/>
          <w:color w:val="auto"/>
          <w:spacing w:val="-6"/>
          <w:sz w:val="32"/>
          <w:szCs w:val="32"/>
          <w:lang w:val="en-US" w:eastAsia="zh-CN"/>
        </w:rPr>
        <w:t>3</w:t>
      </w:r>
    </w:p>
    <w:p>
      <w:pPr>
        <w:snapToGrid w:val="0"/>
        <w:spacing w:line="594" w:lineRule="exact"/>
        <w:jc w:val="left"/>
        <w:rPr>
          <w:rFonts w:hint="eastAsia" w:eastAsia="黑体" w:cs="Times New Roman"/>
          <w:bCs/>
          <w:color w:val="auto"/>
          <w:spacing w:val="-6"/>
          <w:sz w:val="32"/>
          <w:szCs w:val="32"/>
          <w:lang w:val="en-US" w:eastAsia="zh-CN"/>
        </w:rPr>
      </w:pPr>
    </w:p>
    <w:p>
      <w:pPr>
        <w:widowControl w:val="0"/>
        <w:wordWrap/>
        <w:adjustRightInd/>
        <w:snapToGrid w:val="0"/>
        <w:spacing w:line="560" w:lineRule="exact"/>
        <w:ind w:right="0"/>
        <w:jc w:val="center"/>
        <w:textAlignment w:val="auto"/>
        <w:outlineLvl w:val="9"/>
        <w:rPr>
          <w:rFonts w:hint="eastAsia" w:eastAsia="方正小标宋简体"/>
          <w:sz w:val="44"/>
          <w:szCs w:val="44"/>
        </w:rPr>
      </w:pPr>
      <w:r>
        <w:rPr>
          <w:rFonts w:hint="eastAsia" w:eastAsia="方正小标宋简体"/>
          <w:sz w:val="44"/>
          <w:szCs w:val="44"/>
        </w:rPr>
        <w:t>清远市市场监督管理局蒸压加气混凝土砌块产品质量监督抽查实施细则</w:t>
      </w:r>
    </w:p>
    <w:p>
      <w:pPr>
        <w:widowControl w:val="0"/>
        <w:wordWrap/>
        <w:adjustRightInd/>
        <w:snapToGrid w:val="0"/>
        <w:spacing w:line="560" w:lineRule="exact"/>
        <w:ind w:left="0" w:leftChars="0" w:right="0" w:firstLine="875" w:firstLineChars="199"/>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年</w:t>
      </w:r>
      <w:r>
        <w:rPr>
          <w:rFonts w:hint="eastAsia" w:ascii="仿宋_GB2312" w:hAnsi="仿宋_GB2312" w:cs="仿宋_GB2312"/>
          <w:sz w:val="28"/>
          <w:szCs w:val="28"/>
          <w:lang w:eastAsia="zh-CN"/>
        </w:rPr>
        <w:t>版</w:t>
      </w:r>
      <w:r>
        <w:rPr>
          <w:rFonts w:hint="eastAsia" w:ascii="仿宋_GB2312" w:hAnsi="仿宋_GB2312" w:eastAsia="仿宋_GB2312" w:cs="仿宋_GB2312"/>
          <w:sz w:val="28"/>
          <w:szCs w:val="28"/>
        </w:rPr>
        <w:t>）</w:t>
      </w:r>
    </w:p>
    <w:p>
      <w:pPr>
        <w:widowControl w:val="0"/>
        <w:wordWrap/>
        <w:adjustRightInd/>
        <w:snapToGrid w:val="0"/>
        <w:spacing w:line="560" w:lineRule="exact"/>
        <w:ind w:right="0"/>
        <w:textAlignment w:val="auto"/>
        <w:outlineLvl w:val="9"/>
        <w:rPr>
          <w:rFonts w:eastAsia="黑体"/>
          <w:sz w:val="21"/>
          <w:szCs w:val="21"/>
        </w:rPr>
      </w:pPr>
    </w:p>
    <w:p>
      <w:pPr>
        <w:widowControl w:val="0"/>
        <w:wordWrap/>
        <w:adjustRightInd/>
        <w:snapToGrid w:val="0"/>
        <w:spacing w:line="560" w:lineRule="exact"/>
        <w:ind w:left="0" w:leftChars="0" w:right="0" w:firstLine="875" w:firstLineChars="199"/>
        <w:textAlignment w:val="auto"/>
        <w:outlineLvl w:val="9"/>
        <w:rPr>
          <w:rFonts w:eastAsia="黑体"/>
          <w:szCs w:val="32"/>
        </w:rPr>
      </w:pPr>
      <w:r>
        <w:rPr>
          <w:rFonts w:eastAsia="黑体"/>
          <w:szCs w:val="32"/>
        </w:rPr>
        <w:t>1 抽样方法</w:t>
      </w:r>
    </w:p>
    <w:p>
      <w:pPr>
        <w:widowControl w:val="0"/>
        <w:wordWrap/>
        <w:adjustRightInd/>
        <w:snapToGrid w:val="0"/>
        <w:spacing w:line="560" w:lineRule="exact"/>
        <w:ind w:left="0" w:leftChars="0" w:right="0" w:firstLine="875" w:firstLineChars="199"/>
        <w:textAlignment w:val="auto"/>
        <w:outlineLvl w:val="9"/>
        <w:rPr>
          <w:szCs w:val="32"/>
        </w:rPr>
      </w:pPr>
      <w:r>
        <w:rPr>
          <w:rFonts w:hint="eastAsia"/>
          <w:szCs w:val="32"/>
        </w:rPr>
        <w:t>以随机抽样的方式在被抽查市场主体的待销产品中抽取。</w:t>
      </w:r>
    </w:p>
    <w:p>
      <w:pPr>
        <w:widowControl w:val="0"/>
        <w:wordWrap/>
        <w:adjustRightInd/>
        <w:snapToGrid w:val="0"/>
        <w:spacing w:line="560" w:lineRule="exact"/>
        <w:ind w:left="0" w:leftChars="0" w:right="0" w:firstLine="875" w:firstLineChars="199"/>
        <w:textAlignment w:val="auto"/>
        <w:outlineLvl w:val="9"/>
        <w:rPr>
          <w:szCs w:val="32"/>
        </w:rPr>
      </w:pPr>
      <w:r>
        <w:rPr>
          <w:rFonts w:hint="eastAsia"/>
          <w:szCs w:val="32"/>
        </w:rPr>
        <w:t>随机数一般可使用随机数表等方法产生。</w:t>
      </w:r>
    </w:p>
    <w:p>
      <w:pPr>
        <w:widowControl w:val="0"/>
        <w:wordWrap/>
        <w:adjustRightInd/>
        <w:snapToGrid w:val="0"/>
        <w:spacing w:line="560" w:lineRule="exact"/>
        <w:ind w:left="0" w:leftChars="0" w:right="0" w:firstLine="875" w:firstLineChars="199"/>
        <w:textAlignment w:val="auto"/>
        <w:outlineLvl w:val="9"/>
        <w:rPr>
          <w:szCs w:val="32"/>
        </w:rPr>
      </w:pPr>
      <w:r>
        <w:rPr>
          <w:rFonts w:hint="eastAsia"/>
          <w:szCs w:val="32"/>
        </w:rPr>
        <w:t>每批次产品抽取2组样本，第1组用于检验，第2组用于备样。</w:t>
      </w:r>
    </w:p>
    <w:p>
      <w:pPr>
        <w:widowControl w:val="0"/>
        <w:wordWrap/>
        <w:adjustRightInd/>
        <w:snapToGrid w:val="0"/>
        <w:spacing w:line="560" w:lineRule="exact"/>
        <w:ind w:left="0" w:leftChars="0" w:right="0" w:firstLine="875" w:firstLineChars="199"/>
        <w:textAlignment w:val="auto"/>
        <w:outlineLvl w:val="9"/>
        <w:rPr>
          <w:szCs w:val="32"/>
        </w:rPr>
      </w:pPr>
      <w:r>
        <w:rPr>
          <w:rFonts w:hint="eastAsia"/>
          <w:szCs w:val="32"/>
        </w:rPr>
        <w:t>具体抽样数量和方法如下：</w:t>
      </w:r>
    </w:p>
    <w:tbl>
      <w:tblPr>
        <w:tblStyle w:val="5"/>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1504"/>
        <w:gridCol w:w="1315"/>
        <w:gridCol w:w="2814"/>
        <w:gridCol w:w="2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blHeader/>
          <w:jc w:val="center"/>
        </w:trPr>
        <w:tc>
          <w:tcPr>
            <w:tcW w:w="730"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序号</w:t>
            </w:r>
          </w:p>
        </w:tc>
        <w:tc>
          <w:tcPr>
            <w:tcW w:w="2819" w:type="dxa"/>
            <w:gridSpan w:val="2"/>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产品名称</w:t>
            </w:r>
          </w:p>
        </w:tc>
        <w:tc>
          <w:tcPr>
            <w:tcW w:w="2814"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eastAsia="宋体"/>
                <w:sz w:val="21"/>
                <w:szCs w:val="21"/>
              </w:rPr>
              <w:t>第1组数量（款）</w:t>
            </w:r>
          </w:p>
        </w:tc>
        <w:tc>
          <w:tcPr>
            <w:tcW w:w="2804"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eastAsia="宋体"/>
                <w:sz w:val="21"/>
                <w:szCs w:val="21"/>
              </w:rPr>
              <w:t>第2组数量（款）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blHeader/>
          <w:jc w:val="center"/>
        </w:trPr>
        <w:tc>
          <w:tcPr>
            <w:tcW w:w="730"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1</w:t>
            </w:r>
          </w:p>
        </w:tc>
        <w:tc>
          <w:tcPr>
            <w:tcW w:w="1504"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新型节能环保墙体材料</w:t>
            </w:r>
          </w:p>
        </w:tc>
        <w:tc>
          <w:tcPr>
            <w:tcW w:w="1315"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蒸压加气混凝土砌块</w:t>
            </w:r>
          </w:p>
        </w:tc>
        <w:tc>
          <w:tcPr>
            <w:tcW w:w="2814"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抽样时以同厂家（或同品牌）、同一品种、规格和等级同一批次产品作为一个样本总体。随机抽取样品15块</w:t>
            </w:r>
          </w:p>
        </w:tc>
        <w:tc>
          <w:tcPr>
            <w:tcW w:w="2804"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抽样时以同厂家（或同品牌）、同一品种、规格和等级同一批次产品作为一个样本总体。随机抽取样品5块</w:t>
            </w:r>
          </w:p>
        </w:tc>
      </w:tr>
    </w:tbl>
    <w:p>
      <w:pPr>
        <w:widowControl w:val="0"/>
        <w:wordWrap/>
        <w:adjustRightInd/>
        <w:snapToGrid w:val="0"/>
        <w:spacing w:line="560" w:lineRule="exact"/>
        <w:ind w:left="0" w:leftChars="0" w:right="0" w:firstLine="875" w:firstLineChars="199"/>
        <w:textAlignment w:val="auto"/>
        <w:outlineLvl w:val="9"/>
        <w:rPr>
          <w:szCs w:val="32"/>
        </w:rPr>
      </w:pPr>
      <w:r>
        <w:rPr>
          <w:rFonts w:hint="eastAsia"/>
          <w:szCs w:val="32"/>
        </w:rPr>
        <w:t>抽样时需确认砌块的规格、强度等级和密度等级信息。</w:t>
      </w:r>
    </w:p>
    <w:p>
      <w:pPr>
        <w:widowControl w:val="0"/>
        <w:wordWrap/>
        <w:adjustRightInd/>
        <w:snapToGrid w:val="0"/>
        <w:spacing w:line="560" w:lineRule="exact"/>
        <w:ind w:left="0" w:leftChars="0" w:right="0" w:firstLine="875" w:firstLineChars="199"/>
        <w:textAlignment w:val="auto"/>
        <w:outlineLvl w:val="9"/>
        <w:rPr>
          <w:rFonts w:eastAsia="黑体"/>
          <w:szCs w:val="32"/>
        </w:rPr>
      </w:pPr>
      <w:r>
        <w:rPr>
          <w:rFonts w:eastAsia="黑体"/>
          <w:szCs w:val="32"/>
        </w:rPr>
        <w:t>2 检验依据</w:t>
      </w:r>
    </w:p>
    <w:p>
      <w:pPr>
        <w:widowControl w:val="0"/>
        <w:wordWrap/>
        <w:adjustRightInd/>
        <w:snapToGrid w:val="0"/>
        <w:spacing w:line="560" w:lineRule="exact"/>
        <w:ind w:left="0" w:leftChars="0" w:right="0" w:firstLine="875" w:firstLineChars="199"/>
        <w:textAlignment w:val="auto"/>
        <w:outlineLvl w:val="9"/>
        <w:rPr>
          <w:szCs w:val="32"/>
        </w:rPr>
      </w:pPr>
      <w:r>
        <w:rPr>
          <w:rFonts w:hint="eastAsia"/>
          <w:szCs w:val="32"/>
        </w:rPr>
        <w:t>新型节能环保墙体材料（蒸压加气混凝土砌块）</w:t>
      </w:r>
    </w:p>
    <w:tbl>
      <w:tblPr>
        <w:tblStyle w:val="5"/>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3"/>
        <w:gridCol w:w="3508"/>
        <w:gridCol w:w="4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7" w:hRule="atLeast"/>
          <w:tblHeader/>
          <w:jc w:val="center"/>
        </w:trPr>
        <w:tc>
          <w:tcPr>
            <w:tcW w:w="134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序号</w:t>
            </w:r>
          </w:p>
        </w:tc>
        <w:tc>
          <w:tcPr>
            <w:tcW w:w="3508"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检验项目</w:t>
            </w:r>
          </w:p>
        </w:tc>
        <w:tc>
          <w:tcPr>
            <w:tcW w:w="4319"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7" w:hRule="atLeast"/>
          <w:jc w:val="center"/>
        </w:trPr>
        <w:tc>
          <w:tcPr>
            <w:tcW w:w="1343"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eastAsia="宋体"/>
                <w:sz w:val="21"/>
                <w:szCs w:val="21"/>
              </w:rPr>
              <w:t>1</w:t>
            </w:r>
          </w:p>
        </w:tc>
        <w:tc>
          <w:tcPr>
            <w:tcW w:w="3508"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eastAsia="宋体"/>
                <w:sz w:val="21"/>
                <w:szCs w:val="21"/>
              </w:rPr>
              <w:t>抗压强度</w:t>
            </w:r>
          </w:p>
        </w:tc>
        <w:tc>
          <w:tcPr>
            <w:tcW w:w="4319"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eastAsia="宋体"/>
                <w:sz w:val="21"/>
                <w:szCs w:val="21"/>
              </w:rPr>
              <w:t>GB</w:t>
            </w:r>
            <w:r>
              <w:rPr>
                <w:rFonts w:hint="eastAsia" w:eastAsia="宋体"/>
                <w:sz w:val="21"/>
                <w:szCs w:val="21"/>
              </w:rPr>
              <w:t>/T</w:t>
            </w:r>
            <w:r>
              <w:rPr>
                <w:rFonts w:eastAsia="宋体"/>
                <w:sz w:val="21"/>
                <w:szCs w:val="21"/>
              </w:rPr>
              <w:t xml:space="preserve"> 1196</w:t>
            </w:r>
            <w:r>
              <w:rPr>
                <w:rFonts w:hint="eastAsia" w:eastAsia="宋体"/>
                <w:sz w:val="21"/>
                <w:szCs w:val="21"/>
              </w:rPr>
              <w:t>9-</w:t>
            </w:r>
            <w:r>
              <w:rPr>
                <w:rFonts w:eastAsia="宋体"/>
                <w:sz w:val="21"/>
                <w:szCs w:val="21"/>
              </w:rPr>
              <w:t>20</w:t>
            </w:r>
            <w:r>
              <w:rPr>
                <w:rFonts w:hint="eastAsia" w:eastAsia="宋体"/>
                <w:sz w:val="21"/>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7" w:hRule="atLeast"/>
          <w:jc w:val="center"/>
        </w:trPr>
        <w:tc>
          <w:tcPr>
            <w:tcW w:w="1343"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eastAsia="宋体"/>
                <w:sz w:val="21"/>
                <w:szCs w:val="21"/>
              </w:rPr>
              <w:t>2</w:t>
            </w:r>
          </w:p>
        </w:tc>
        <w:tc>
          <w:tcPr>
            <w:tcW w:w="3508"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eastAsia="宋体"/>
                <w:sz w:val="21"/>
                <w:szCs w:val="21"/>
              </w:rPr>
              <w:t>干密度</w:t>
            </w:r>
          </w:p>
        </w:tc>
        <w:tc>
          <w:tcPr>
            <w:tcW w:w="4319"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eastAsia="宋体"/>
                <w:sz w:val="21"/>
                <w:szCs w:val="21"/>
              </w:rPr>
              <w:t>GB</w:t>
            </w:r>
            <w:r>
              <w:rPr>
                <w:rFonts w:hint="eastAsia" w:eastAsia="宋体"/>
                <w:sz w:val="21"/>
                <w:szCs w:val="21"/>
              </w:rPr>
              <w:t>/T</w:t>
            </w:r>
            <w:r>
              <w:rPr>
                <w:rFonts w:eastAsia="宋体"/>
                <w:sz w:val="21"/>
                <w:szCs w:val="21"/>
              </w:rPr>
              <w:t xml:space="preserve"> 1196</w:t>
            </w:r>
            <w:r>
              <w:rPr>
                <w:rFonts w:hint="eastAsia" w:eastAsia="宋体"/>
                <w:sz w:val="21"/>
                <w:szCs w:val="21"/>
              </w:rPr>
              <w:t>9-</w:t>
            </w:r>
            <w:r>
              <w:rPr>
                <w:rFonts w:eastAsia="宋体"/>
                <w:sz w:val="21"/>
                <w:szCs w:val="21"/>
              </w:rPr>
              <w:t>20</w:t>
            </w:r>
            <w:r>
              <w:rPr>
                <w:rFonts w:hint="eastAsia" w:eastAsia="宋体"/>
                <w:sz w:val="21"/>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7" w:hRule="atLeast"/>
          <w:jc w:val="center"/>
        </w:trPr>
        <w:tc>
          <w:tcPr>
            <w:tcW w:w="1343"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3</w:t>
            </w:r>
          </w:p>
        </w:tc>
        <w:tc>
          <w:tcPr>
            <w:tcW w:w="3508"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干燥收缩</w:t>
            </w:r>
          </w:p>
        </w:tc>
        <w:tc>
          <w:tcPr>
            <w:tcW w:w="4319" w:type="dxa"/>
            <w:vAlign w:val="top"/>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eastAsia="宋体"/>
                <w:sz w:val="21"/>
                <w:szCs w:val="21"/>
              </w:rPr>
              <w:t>GB</w:t>
            </w:r>
            <w:r>
              <w:rPr>
                <w:rFonts w:hint="eastAsia" w:eastAsia="宋体"/>
                <w:sz w:val="21"/>
                <w:szCs w:val="21"/>
              </w:rPr>
              <w:t>/T</w:t>
            </w:r>
            <w:r>
              <w:rPr>
                <w:rFonts w:eastAsia="宋体"/>
                <w:sz w:val="21"/>
                <w:szCs w:val="21"/>
              </w:rPr>
              <w:t xml:space="preserve"> 1196</w:t>
            </w:r>
            <w:r>
              <w:rPr>
                <w:rFonts w:hint="eastAsia" w:eastAsia="宋体"/>
                <w:sz w:val="21"/>
                <w:szCs w:val="21"/>
              </w:rPr>
              <w:t>9-</w:t>
            </w:r>
            <w:r>
              <w:rPr>
                <w:rFonts w:eastAsia="宋体"/>
                <w:sz w:val="21"/>
                <w:szCs w:val="21"/>
              </w:rPr>
              <w:t>20</w:t>
            </w:r>
            <w:r>
              <w:rPr>
                <w:rFonts w:hint="eastAsia" w:eastAsia="宋体"/>
                <w:sz w:val="21"/>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7" w:hRule="atLeast"/>
          <w:jc w:val="center"/>
        </w:trPr>
        <w:tc>
          <w:tcPr>
            <w:tcW w:w="1343"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4</w:t>
            </w:r>
          </w:p>
        </w:tc>
        <w:tc>
          <w:tcPr>
            <w:tcW w:w="3508"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抗冻性</w:t>
            </w:r>
          </w:p>
        </w:tc>
        <w:tc>
          <w:tcPr>
            <w:tcW w:w="4319" w:type="dxa"/>
            <w:vAlign w:val="top"/>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eastAsia="宋体"/>
                <w:sz w:val="21"/>
                <w:szCs w:val="21"/>
              </w:rPr>
              <w:t>GB</w:t>
            </w:r>
            <w:r>
              <w:rPr>
                <w:rFonts w:hint="eastAsia" w:eastAsia="宋体"/>
                <w:sz w:val="21"/>
                <w:szCs w:val="21"/>
              </w:rPr>
              <w:t>/T</w:t>
            </w:r>
            <w:r>
              <w:rPr>
                <w:rFonts w:eastAsia="宋体"/>
                <w:sz w:val="21"/>
                <w:szCs w:val="21"/>
              </w:rPr>
              <w:t xml:space="preserve"> 1196</w:t>
            </w:r>
            <w:r>
              <w:rPr>
                <w:rFonts w:hint="eastAsia" w:eastAsia="宋体"/>
                <w:sz w:val="21"/>
                <w:szCs w:val="21"/>
              </w:rPr>
              <w:t>9-</w:t>
            </w:r>
            <w:r>
              <w:rPr>
                <w:rFonts w:eastAsia="宋体"/>
                <w:sz w:val="21"/>
                <w:szCs w:val="21"/>
              </w:rPr>
              <w:t>20</w:t>
            </w:r>
            <w:r>
              <w:rPr>
                <w:rFonts w:hint="eastAsia" w:eastAsia="宋体"/>
                <w:sz w:val="21"/>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7" w:hRule="atLeast"/>
          <w:jc w:val="center"/>
        </w:trPr>
        <w:tc>
          <w:tcPr>
            <w:tcW w:w="1343"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5</w:t>
            </w:r>
          </w:p>
        </w:tc>
        <w:tc>
          <w:tcPr>
            <w:tcW w:w="3508"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导热系数</w:t>
            </w:r>
          </w:p>
        </w:tc>
        <w:tc>
          <w:tcPr>
            <w:tcW w:w="4319"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eastAsia="宋体"/>
                <w:sz w:val="21"/>
                <w:szCs w:val="21"/>
              </w:rPr>
              <w:t>GB/T 10294</w:t>
            </w:r>
            <w:r>
              <w:rPr>
                <w:rFonts w:hint="eastAsia" w:eastAsia="宋体"/>
                <w:sz w:val="21"/>
                <w:szCs w:val="21"/>
              </w:rPr>
              <w:t>—</w:t>
            </w:r>
            <w:r>
              <w:rPr>
                <w:rFonts w:eastAsia="宋体"/>
                <w:sz w:val="21"/>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7" w:hRule="atLeast"/>
          <w:jc w:val="center"/>
        </w:trPr>
        <w:tc>
          <w:tcPr>
            <w:tcW w:w="1343"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6</w:t>
            </w:r>
          </w:p>
        </w:tc>
        <w:tc>
          <w:tcPr>
            <w:tcW w:w="3508"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eastAsia="宋体"/>
                <w:sz w:val="21"/>
                <w:szCs w:val="21"/>
              </w:rPr>
              <w:t>放射性</w:t>
            </w:r>
          </w:p>
        </w:tc>
        <w:tc>
          <w:tcPr>
            <w:tcW w:w="4319"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eastAsia="宋体"/>
                <w:sz w:val="21"/>
                <w:szCs w:val="21"/>
              </w:rPr>
              <w:t>GB 6566</w:t>
            </w:r>
            <w:r>
              <w:rPr>
                <w:rFonts w:hint="eastAsia" w:eastAsia="宋体"/>
                <w:sz w:val="21"/>
                <w:szCs w:val="21"/>
              </w:rPr>
              <w:t>-</w:t>
            </w:r>
            <w:r>
              <w:rPr>
                <w:rFonts w:eastAsia="宋体"/>
                <w:sz w:val="21"/>
                <w:szCs w:val="21"/>
              </w:rPr>
              <w:t>2010</w:t>
            </w:r>
          </w:p>
        </w:tc>
      </w:tr>
    </w:tbl>
    <w:p>
      <w:pPr>
        <w:widowControl w:val="0"/>
        <w:wordWrap/>
        <w:adjustRightInd/>
        <w:snapToGrid w:val="0"/>
        <w:spacing w:line="560" w:lineRule="exact"/>
        <w:ind w:left="0" w:leftChars="0" w:right="0" w:firstLine="875" w:firstLineChars="199"/>
        <w:textAlignment w:val="auto"/>
        <w:outlineLvl w:val="9"/>
        <w:rPr>
          <w:szCs w:val="32"/>
        </w:rPr>
      </w:pPr>
      <w:r>
        <w:rPr>
          <w:rFonts w:hint="eastAsia"/>
          <w:szCs w:val="32"/>
        </w:rPr>
        <w:t>执行企业标准、团体标准、地方标准的产品，检验项目参照上述内容执行。</w:t>
      </w:r>
      <w:bookmarkStart w:id="0" w:name="_GoBack"/>
      <w:bookmarkEnd w:id="0"/>
    </w:p>
    <w:p>
      <w:pPr>
        <w:widowControl w:val="0"/>
        <w:wordWrap/>
        <w:adjustRightInd/>
        <w:snapToGrid w:val="0"/>
        <w:spacing w:line="560" w:lineRule="exact"/>
        <w:ind w:left="0" w:leftChars="0" w:right="0" w:firstLine="875" w:firstLineChars="199"/>
        <w:textAlignment w:val="auto"/>
        <w:outlineLvl w:val="9"/>
        <w:rPr>
          <w:szCs w:val="32"/>
        </w:rPr>
      </w:pPr>
      <w:r>
        <w:rPr>
          <w:szCs w:val="32"/>
        </w:rPr>
        <w:t>凡是注日期的文件，其随后所有的修改单（不包括勘误的内容）或修订版不适用于本细则。凡是不注日期的文件，其最新版本适用于本细则。</w:t>
      </w:r>
    </w:p>
    <w:p>
      <w:pPr>
        <w:widowControl w:val="0"/>
        <w:wordWrap/>
        <w:adjustRightInd/>
        <w:snapToGrid w:val="0"/>
        <w:spacing w:line="560" w:lineRule="exact"/>
        <w:ind w:left="0" w:leftChars="0" w:right="0" w:firstLine="875" w:firstLineChars="199"/>
        <w:textAlignment w:val="auto"/>
        <w:outlineLvl w:val="9"/>
        <w:rPr>
          <w:rFonts w:eastAsia="黑体"/>
          <w:szCs w:val="32"/>
        </w:rPr>
      </w:pPr>
      <w:r>
        <w:rPr>
          <w:rFonts w:eastAsia="黑体"/>
          <w:szCs w:val="32"/>
        </w:rPr>
        <w:t>3 判定规则</w:t>
      </w:r>
    </w:p>
    <w:p>
      <w:pPr>
        <w:widowControl w:val="0"/>
        <w:wordWrap/>
        <w:adjustRightInd/>
        <w:snapToGrid w:val="0"/>
        <w:spacing w:line="560" w:lineRule="exact"/>
        <w:ind w:left="0" w:leftChars="0" w:right="0" w:firstLine="875" w:firstLineChars="199"/>
        <w:textAlignment w:val="auto"/>
        <w:outlineLvl w:val="9"/>
        <w:rPr>
          <w:szCs w:val="32"/>
        </w:rPr>
      </w:pPr>
      <w:r>
        <w:rPr>
          <w:szCs w:val="32"/>
        </w:rPr>
        <w:t>3.1依据标准</w:t>
      </w:r>
    </w:p>
    <w:p>
      <w:pPr>
        <w:widowControl w:val="0"/>
        <w:wordWrap/>
        <w:adjustRightInd/>
        <w:snapToGrid w:val="0"/>
        <w:spacing w:line="560" w:lineRule="exact"/>
        <w:ind w:left="0" w:leftChars="0" w:right="0" w:firstLine="875" w:firstLineChars="199"/>
        <w:textAlignment w:val="auto"/>
        <w:outlineLvl w:val="9"/>
        <w:rPr>
          <w:szCs w:val="32"/>
        </w:rPr>
      </w:pPr>
      <w:r>
        <w:rPr>
          <w:rFonts w:hint="eastAsia"/>
          <w:szCs w:val="32"/>
        </w:rPr>
        <w:t>GB/T 11968—2020 蒸压加气混凝土砌块</w:t>
      </w:r>
    </w:p>
    <w:p>
      <w:pPr>
        <w:widowControl w:val="0"/>
        <w:wordWrap/>
        <w:adjustRightInd/>
        <w:snapToGrid w:val="0"/>
        <w:spacing w:line="560" w:lineRule="exact"/>
        <w:ind w:left="0" w:leftChars="0" w:right="0" w:firstLine="875" w:firstLineChars="199"/>
        <w:textAlignment w:val="auto"/>
        <w:outlineLvl w:val="9"/>
        <w:rPr>
          <w:szCs w:val="32"/>
        </w:rPr>
      </w:pPr>
      <w:r>
        <w:rPr>
          <w:rFonts w:hint="eastAsia"/>
          <w:szCs w:val="32"/>
        </w:rPr>
        <w:t>GB/T 11969—2020 蒸压加气混凝土性能试验方法</w:t>
      </w:r>
    </w:p>
    <w:p>
      <w:pPr>
        <w:widowControl w:val="0"/>
        <w:wordWrap/>
        <w:adjustRightInd/>
        <w:snapToGrid w:val="0"/>
        <w:spacing w:line="560" w:lineRule="exact"/>
        <w:ind w:left="0" w:leftChars="0" w:right="0" w:firstLine="875" w:firstLineChars="199"/>
        <w:textAlignment w:val="auto"/>
        <w:outlineLvl w:val="9"/>
        <w:rPr>
          <w:szCs w:val="32"/>
        </w:rPr>
      </w:pPr>
      <w:r>
        <w:rPr>
          <w:rFonts w:hint="eastAsia"/>
          <w:szCs w:val="32"/>
        </w:rPr>
        <w:t>GB/T 10294—2008 绝热材料稳态热阻及有关特性的测定 防护热板办法</w:t>
      </w:r>
    </w:p>
    <w:p>
      <w:pPr>
        <w:widowControl w:val="0"/>
        <w:wordWrap/>
        <w:adjustRightInd/>
        <w:snapToGrid w:val="0"/>
        <w:spacing w:line="560" w:lineRule="exact"/>
        <w:ind w:left="0" w:leftChars="0" w:right="0" w:firstLine="875" w:firstLineChars="199"/>
        <w:textAlignment w:val="auto"/>
        <w:outlineLvl w:val="9"/>
        <w:rPr>
          <w:szCs w:val="32"/>
        </w:rPr>
      </w:pPr>
      <w:r>
        <w:rPr>
          <w:rFonts w:hint="eastAsia"/>
          <w:szCs w:val="32"/>
        </w:rPr>
        <w:t>GB 6566—2010 建筑材料放射性核素限量</w:t>
      </w:r>
    </w:p>
    <w:p>
      <w:pPr>
        <w:widowControl w:val="0"/>
        <w:wordWrap/>
        <w:adjustRightInd/>
        <w:snapToGrid w:val="0"/>
        <w:spacing w:line="560" w:lineRule="exact"/>
        <w:ind w:left="0" w:leftChars="0" w:right="0" w:firstLine="875" w:firstLineChars="199"/>
        <w:textAlignment w:val="auto"/>
        <w:outlineLvl w:val="9"/>
        <w:rPr>
          <w:szCs w:val="32"/>
        </w:rPr>
      </w:pPr>
      <w:r>
        <w:rPr>
          <w:szCs w:val="32"/>
        </w:rPr>
        <w:t>现行有效的企业标准、团体标准、地方标准及产品明示质量要求</w:t>
      </w:r>
    </w:p>
    <w:p>
      <w:pPr>
        <w:widowControl w:val="0"/>
        <w:wordWrap/>
        <w:adjustRightInd/>
        <w:snapToGrid w:val="0"/>
        <w:spacing w:line="560" w:lineRule="exact"/>
        <w:ind w:left="0" w:leftChars="0" w:right="0" w:firstLine="875" w:firstLineChars="199"/>
        <w:textAlignment w:val="auto"/>
        <w:outlineLvl w:val="9"/>
        <w:rPr>
          <w:szCs w:val="32"/>
        </w:rPr>
      </w:pPr>
      <w:r>
        <w:rPr>
          <w:szCs w:val="32"/>
        </w:rPr>
        <w:t>3.2判定原则</w:t>
      </w:r>
    </w:p>
    <w:p>
      <w:pPr>
        <w:widowControl w:val="0"/>
        <w:wordWrap/>
        <w:adjustRightInd/>
        <w:snapToGrid w:val="0"/>
        <w:spacing w:line="560" w:lineRule="exact"/>
        <w:ind w:left="0" w:leftChars="0" w:right="0" w:firstLine="875" w:firstLineChars="199"/>
        <w:textAlignment w:val="auto"/>
        <w:outlineLvl w:val="9"/>
        <w:rPr>
          <w:szCs w:val="32"/>
        </w:rPr>
      </w:pPr>
      <w:r>
        <w:rPr>
          <w:szCs w:val="32"/>
        </w:rPr>
        <w:t>经检验，检验项目全部合格，判定为被抽查产品</w:t>
      </w:r>
      <w:r>
        <w:rPr>
          <w:rFonts w:hint="eastAsia"/>
          <w:szCs w:val="32"/>
        </w:rPr>
        <w:t>所检项目未发现不</w:t>
      </w:r>
      <w:r>
        <w:rPr>
          <w:szCs w:val="32"/>
        </w:rPr>
        <w:t>合格；检验项目中任一项或一项以上不合格，判定为被抽查产品不合格。</w:t>
      </w:r>
    </w:p>
    <w:p>
      <w:pPr>
        <w:widowControl w:val="0"/>
        <w:wordWrap/>
        <w:adjustRightInd/>
        <w:snapToGrid w:val="0"/>
        <w:spacing w:line="560" w:lineRule="exact"/>
        <w:ind w:left="0" w:leftChars="0" w:right="0" w:firstLine="875" w:firstLineChars="199"/>
        <w:textAlignment w:val="auto"/>
        <w:outlineLvl w:val="9"/>
        <w:rPr>
          <w:szCs w:val="32"/>
        </w:rPr>
      </w:pPr>
      <w:r>
        <w:rPr>
          <w:szCs w:val="32"/>
        </w:rPr>
        <w:t>若被检产品明示的质量要求高于本细则中检验项目依据的标准要求时，应按被检产品明示的质量要求判定。</w:t>
      </w:r>
    </w:p>
    <w:p>
      <w:pPr>
        <w:widowControl w:val="0"/>
        <w:wordWrap/>
        <w:adjustRightInd/>
        <w:snapToGrid w:val="0"/>
        <w:spacing w:line="560" w:lineRule="exact"/>
        <w:ind w:left="0" w:leftChars="0" w:right="0" w:firstLine="875" w:firstLineChars="199"/>
        <w:textAlignment w:val="auto"/>
        <w:outlineLvl w:val="9"/>
        <w:rPr>
          <w:szCs w:val="32"/>
        </w:rPr>
      </w:pPr>
      <w:r>
        <w:rPr>
          <w:szCs w:val="32"/>
        </w:rPr>
        <w:t>若被检产品明示的质量要求低于本细则中检验项目依据的强制性标准要求时，应按照强制性标准要求判定。</w:t>
      </w:r>
    </w:p>
    <w:p>
      <w:pPr>
        <w:widowControl w:val="0"/>
        <w:wordWrap/>
        <w:adjustRightInd/>
        <w:snapToGrid w:val="0"/>
        <w:spacing w:line="560" w:lineRule="exact"/>
        <w:ind w:left="0" w:leftChars="0" w:right="0" w:firstLine="875" w:firstLineChars="199"/>
        <w:textAlignment w:val="auto"/>
        <w:outlineLvl w:val="9"/>
        <w:rPr>
          <w:szCs w:val="32"/>
        </w:rPr>
      </w:pPr>
      <w:r>
        <w:rPr>
          <w:szCs w:val="32"/>
        </w:rPr>
        <w:t>若被检产品明示的质量要求低于或包含本细则中检验项目依据的推荐性标准要求时，应以被检产品明示的质量要求判定。</w:t>
      </w:r>
    </w:p>
    <w:p>
      <w:pPr>
        <w:widowControl w:val="0"/>
        <w:wordWrap/>
        <w:adjustRightInd/>
        <w:snapToGrid w:val="0"/>
        <w:spacing w:line="560" w:lineRule="exact"/>
        <w:ind w:left="0" w:leftChars="0" w:right="0" w:firstLine="875" w:firstLineChars="199"/>
        <w:textAlignment w:val="auto"/>
        <w:outlineLvl w:val="9"/>
        <w:rPr>
          <w:szCs w:val="32"/>
        </w:rPr>
      </w:pPr>
      <w:r>
        <w:rPr>
          <w:szCs w:val="32"/>
        </w:rPr>
        <w:t>若被检产品明示的质量要求缺少本细则中检验项目依据的强制性标准要求时，应按照强制性标准要求判定。</w:t>
      </w:r>
    </w:p>
    <w:p>
      <w:pPr>
        <w:widowControl w:val="0"/>
        <w:wordWrap/>
        <w:adjustRightInd/>
        <w:snapToGrid w:val="0"/>
        <w:spacing w:line="560" w:lineRule="exact"/>
        <w:ind w:left="0" w:leftChars="0" w:right="0" w:firstLine="875" w:firstLineChars="199"/>
        <w:textAlignment w:val="auto"/>
        <w:outlineLvl w:val="9"/>
        <w:rPr>
          <w:szCs w:val="32"/>
        </w:rPr>
      </w:pPr>
      <w:r>
        <w:rPr>
          <w:szCs w:val="32"/>
        </w:rPr>
        <w:t>若被检产品明示的质量要求缺少本细则中检验项目依据的推荐性标准要求时，该项目不参与判定。</w:t>
      </w:r>
    </w:p>
    <w:p>
      <w:pPr>
        <w:widowControl w:val="0"/>
        <w:wordWrap/>
        <w:adjustRightInd/>
        <w:snapToGrid w:val="0"/>
        <w:spacing w:line="560" w:lineRule="exact"/>
        <w:ind w:left="0" w:leftChars="0" w:right="0" w:firstLine="875" w:firstLineChars="199"/>
        <w:textAlignment w:val="auto"/>
        <w:outlineLvl w:val="9"/>
        <w:rPr>
          <w:szCs w:val="32"/>
        </w:rPr>
      </w:pPr>
    </w:p>
    <w:p>
      <w:pPr>
        <w:widowControl w:val="0"/>
        <w:wordWrap/>
        <w:adjustRightInd/>
        <w:spacing w:line="560" w:lineRule="exact"/>
        <w:ind w:left="0" w:leftChars="0" w:right="0" w:firstLine="875" w:firstLineChars="199"/>
        <w:textAlignment w:val="auto"/>
        <w:outlineLvl w:val="9"/>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0F033D"/>
    <w:rsid w:val="000F033D"/>
    <w:rsid w:val="00543104"/>
    <w:rsid w:val="00776CC8"/>
    <w:rsid w:val="008267FD"/>
    <w:rsid w:val="00C21675"/>
    <w:rsid w:val="00C31559"/>
    <w:rsid w:val="00E77BC8"/>
    <w:rsid w:val="00EA1F80"/>
    <w:rsid w:val="0FA879F4"/>
    <w:rsid w:val="10510CB4"/>
    <w:rsid w:val="20074077"/>
    <w:rsid w:val="3011436C"/>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rFonts w:ascii="Times New Roman" w:hAnsi="Times New Roman" w:eastAsia="仿宋_GB2312" w:cs="Times New Roman"/>
      <w:sz w:val="18"/>
      <w:szCs w:val="18"/>
    </w:rPr>
  </w:style>
  <w:style w:type="character" w:customStyle="1" w:styleId="7">
    <w:name w:val="页脚 Char"/>
    <w:basedOn w:val="4"/>
    <w:link w:val="2"/>
    <w:semiHidden/>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867</Words>
  <Characters>979</Characters>
  <Lines>7</Lines>
  <Paragraphs>2</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2024-04-25T07:25:00Z</dcterms:created>
  <dc:creator>Microsoft</dc:creator>
  <cp:lastModifiedBy>杨艳华</cp:lastModifiedBy>
  <dcterms:modified xsi:type="dcterms:W3CDTF">2025-06-05T03:40:05Z</dcterms:modified>
  <dc:title>清远市市场监督管理局蒸压加气混凝土砌块产品质量监督抽查实施细则</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eyJoZGlkIjoiYjRlM2I0OTMzZWY0MDUwZjRiYWY5ZjVjZmYwN2RkOTYiLCJ1c2VySWQiOiIzNTE5NjY0NDcifQ==</vt:lpwstr>
  </property>
  <property fmtid="{D5CDD505-2E9C-101B-9397-08002B2CF9AE}" pid="3" name="KSOProductBuildVer">
    <vt:lpwstr>2052-9.1.0.4940</vt:lpwstr>
  </property>
  <property fmtid="{D5CDD505-2E9C-101B-9397-08002B2CF9AE}" pid="4" name="ICV">
    <vt:lpwstr>8CFDB79901E648B1A1A64AFD30D2202E_12</vt:lpwstr>
  </property>
</Properties>
</file>