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40" w:lineRule="auto"/>
        <w:jc w:val="left"/>
        <w:rPr>
          <w:rFonts w:hint="default" w:ascii="Times New Roman" w:hAnsi="Times New Roman" w:eastAsia="黑体" w:cs="Times New Roman"/>
          <w:bCs/>
          <w:color w:val="auto"/>
          <w:spacing w:val="-6"/>
          <w:sz w:val="32"/>
          <w:szCs w:val="32"/>
          <w:lang w:val="en-US" w:eastAsia="zh-CN"/>
        </w:rPr>
      </w:pPr>
      <w:r>
        <w:rPr>
          <w:rFonts w:hint="default" w:ascii="Times New Roman" w:hAnsi="Times New Roman" w:eastAsia="黑体" w:cs="Times New Roman"/>
          <w:bCs/>
          <w:color w:val="auto"/>
          <w:spacing w:val="-6"/>
          <w:sz w:val="32"/>
          <w:szCs w:val="32"/>
        </w:rPr>
        <w:t>附件</w:t>
      </w:r>
      <w:r>
        <w:rPr>
          <w:rFonts w:hint="default" w:ascii="Times New Roman" w:hAnsi="Times New Roman" w:eastAsia="黑体" w:cs="Times New Roman"/>
          <w:bCs/>
          <w:color w:val="auto"/>
          <w:spacing w:val="-6"/>
          <w:sz w:val="32"/>
          <w:szCs w:val="32"/>
          <w:lang w:val="en-US" w:eastAsia="zh-CN"/>
        </w:rPr>
        <w:t>2</w:t>
      </w:r>
    </w:p>
    <w:p>
      <w:pPr>
        <w:widowControl w:val="0"/>
        <w:wordWrap/>
        <w:adjustRightInd/>
        <w:spacing w:line="560" w:lineRule="exact"/>
        <w:ind w:left="0" w:leftChars="0" w:right="0" w:firstLine="612" w:firstLineChars="199"/>
        <w:jc w:val="left"/>
        <w:textAlignment w:val="auto"/>
        <w:outlineLvl w:val="9"/>
        <w:rPr>
          <w:rFonts w:hint="default" w:ascii="Times New Roman" w:hAnsi="Times New Roman" w:eastAsia="黑体" w:cs="Times New Roman"/>
          <w:bCs/>
          <w:color w:val="auto"/>
          <w:spacing w:val="-6"/>
          <w:sz w:val="32"/>
          <w:szCs w:val="32"/>
          <w:lang w:val="en-US" w:eastAsia="zh-CN"/>
        </w:rPr>
      </w:pPr>
    </w:p>
    <w:p>
      <w:pPr>
        <w:widowControl w:val="0"/>
        <w:wordWrap/>
        <w:adjustRightInd/>
        <w:spacing w:line="560" w:lineRule="exact"/>
        <w:ind w:left="0" w:leftChars="0" w:right="0" w:firstLine="612" w:firstLineChars="199"/>
        <w:jc w:val="center"/>
        <w:textAlignment w:val="auto"/>
        <w:outlineLvl w:val="9"/>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清远市市场监督管理局建筑钢材产品质量监督抽查实施细则</w:t>
      </w:r>
    </w:p>
    <w:p>
      <w:pPr>
        <w:widowControl w:val="0"/>
        <w:wordWrap/>
        <w:adjustRightInd/>
        <w:spacing w:line="560" w:lineRule="exact"/>
        <w:ind w:left="0" w:leftChars="0" w:right="0" w:firstLine="612" w:firstLineChars="199"/>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年版）</w:t>
      </w:r>
    </w:p>
    <w:p>
      <w:pPr>
        <w:widowControl w:val="0"/>
        <w:wordWrap/>
        <w:adjustRightInd/>
        <w:spacing w:line="560" w:lineRule="exact"/>
        <w:ind w:left="0" w:leftChars="0" w:right="0" w:firstLine="612" w:firstLineChars="199"/>
        <w:jc w:val="center"/>
        <w:textAlignment w:val="auto"/>
        <w:outlineLvl w:val="9"/>
        <w:rPr>
          <w:rFonts w:hint="eastAsia" w:ascii="仿宋_GB2312" w:hAnsi="仿宋_GB2312" w:eastAsia="仿宋_GB2312" w:cs="仿宋_GB2312"/>
          <w:sz w:val="28"/>
          <w:szCs w:val="28"/>
          <w:lang w:eastAsia="zh-CN"/>
        </w:rPr>
      </w:pP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1 抽样方法</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具体抽样数量和方法如下：</w:t>
      </w:r>
    </w:p>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1.1热轧带肋钢筋</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对直条热轧带肋钢筋取样时，在同一</w:t>
      </w:r>
      <w:r>
        <w:rPr>
          <w:rFonts w:hint="eastAsia" w:ascii="Times New Roman" w:hAnsi="Times New Roman" w:eastAsia="仿宋_GB2312" w:cs="Times New Roman"/>
          <w:color w:val="000000"/>
          <w:sz w:val="32"/>
          <w:szCs w:val="32"/>
        </w:rPr>
        <w:t>批次（</w:t>
      </w:r>
      <w:r>
        <w:rPr>
          <w:rFonts w:hint="default" w:ascii="Times New Roman" w:hAnsi="Times New Roman" w:eastAsia="仿宋_GB2312" w:cs="Times New Roman"/>
          <w:color w:val="000000"/>
          <w:sz w:val="32"/>
          <w:szCs w:val="32"/>
        </w:rPr>
        <w:t>同一牌号、同一规格</w:t>
      </w:r>
      <w:r>
        <w:rPr>
          <w:rFonts w:hint="eastAsia"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的产品中随机抽取1捆，在该捆中随机抽取5根钢筋，每根钢筋截取的长度为2400mm（d≥28mm的钢筋取样长度为3400mm），逐根顺序编号为1～5，再把每根钢筋分成2 支长度为1200mm的样品（d≥28mm的每根钢筋分成2支长度为1700mm的样品），2支样品逐支编号标记，并一一对应（如1-a，1-b），每支样品要保证有完整的表面标志，标记a的5支样品为检验样品，标记b的5支样品为备用样品。</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检样和备样分别包装和封存。</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对盘卷热轧带肋钢筋取样时，随机抽取同一</w:t>
      </w:r>
      <w:r>
        <w:rPr>
          <w:rFonts w:hint="eastAsia" w:ascii="Times New Roman" w:hAnsi="Times New Roman" w:eastAsia="仿宋_GB2312" w:cs="Times New Roman"/>
          <w:color w:val="000000"/>
          <w:sz w:val="32"/>
          <w:szCs w:val="32"/>
        </w:rPr>
        <w:t>批次（</w:t>
      </w:r>
      <w:r>
        <w:rPr>
          <w:rFonts w:hint="default" w:ascii="Times New Roman" w:hAnsi="Times New Roman" w:eastAsia="仿宋_GB2312" w:cs="Times New Roman"/>
          <w:color w:val="000000"/>
          <w:sz w:val="32"/>
          <w:szCs w:val="32"/>
        </w:rPr>
        <w:t>同一牌号、同一规格</w:t>
      </w:r>
      <w:r>
        <w:rPr>
          <w:rFonts w:hint="eastAsia"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rPr>
        <w:t>产品的5盘产品，在每盘钢筋上距头或尾至少2000mm处，随机截取1根长度为2400mm 的钢筋，逐根顺序编号为1～5，再把每根钢筋分成2支长度为1200mm的样品，2 支样品逐支编号标记，并一一对应（如1-a，1-b）。标记a 的5 支样品为检验样品，标记b 的5 支样品为备用样品。检样和备样分别包装和封存。</w:t>
      </w:r>
    </w:p>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1.2热轧光圆钢筋</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直条热轧光圆钢筋取样时，在同一批次（同一牌号、同一规格）的产品中随机抽取1捆，在该捆中随机抽取5根钢筋，每根钢筋截取的长度为2400mm，逐根顺序编号为1～5，再把每根钢筋分成2支长度为1200mm的样品，2支样品逐支编号标记，并一一对应（如1-a，1-b），标记a的5支样品为检验样品，标记b的5支样品为备用样品。</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对盘卷热轧光圆钢筋取样时，随机抽取同一批次（同一牌号、同一规格）的5盘产品，在每盘钢筋上距头或尾至少2000mm处，随机截取1根长度为2400mm的钢筋，逐根顺序编号为1～5，再把每根钢筋分成2支长度为1200mm的样品，2支样品逐支编号标记，并一一对应（如1-a，1-b）。标记a的5支样品为检验样品，标记b的5支样品为备用样品。检样和备样分别包装和封存。</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2 检验依据</w:t>
      </w:r>
    </w:p>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2.1热轧带肋钢筋</w:t>
      </w:r>
    </w:p>
    <w:tbl>
      <w:tblPr>
        <w:tblStyle w:val="18"/>
        <w:tblW w:w="8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280"/>
        <w:gridCol w:w="3458"/>
        <w:gridCol w:w="3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blHeader/>
          <w:jc w:val="center"/>
        </w:trPr>
        <w:tc>
          <w:tcPr>
            <w:tcW w:w="8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序号</w:t>
            </w:r>
          </w:p>
        </w:tc>
        <w:tc>
          <w:tcPr>
            <w:tcW w:w="473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检验项目</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w:t>
            </w:r>
          </w:p>
        </w:tc>
        <w:tc>
          <w:tcPr>
            <w:tcW w:w="128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力学性能</w:t>
            </w: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下屈服强度R</w:t>
            </w:r>
            <w:r>
              <w:rPr>
                <w:rFonts w:hint="eastAsia" w:ascii="宋体" w:hAnsi="宋体" w:eastAsia="宋体" w:cs="宋体"/>
                <w:sz w:val="21"/>
                <w:szCs w:val="21"/>
                <w:vertAlign w:val="subscript"/>
              </w:rPr>
              <w:t>eL</w:t>
            </w:r>
          </w:p>
        </w:tc>
        <w:tc>
          <w:tcPr>
            <w:tcW w:w="3404"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抗拉强度R</w:t>
            </w:r>
            <w:r>
              <w:rPr>
                <w:rFonts w:hint="eastAsia" w:ascii="宋体" w:hAnsi="宋体" w:eastAsia="宋体" w:cs="宋体"/>
                <w:sz w:val="21"/>
                <w:szCs w:val="21"/>
                <w:vertAlign w:val="subscript"/>
              </w:rPr>
              <w:t>m</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断后伸长率A</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实测抗拉强度与实测屈服强度之比R°</w:t>
            </w:r>
            <w:r>
              <w:rPr>
                <w:rFonts w:hint="eastAsia" w:ascii="宋体" w:hAnsi="宋体" w:eastAsia="宋体" w:cs="宋体"/>
                <w:sz w:val="21"/>
                <w:szCs w:val="21"/>
                <w:vertAlign w:val="subscript"/>
              </w:rPr>
              <w:t>m</w:t>
            </w:r>
            <w:r>
              <w:rPr>
                <w:rFonts w:hint="eastAsia" w:ascii="宋体" w:hAnsi="宋体" w:eastAsia="宋体" w:cs="宋体"/>
                <w:sz w:val="21"/>
                <w:szCs w:val="21"/>
              </w:rPr>
              <w:t>/ R°</w:t>
            </w:r>
            <w:r>
              <w:rPr>
                <w:rFonts w:hint="eastAsia" w:ascii="宋体" w:hAnsi="宋体" w:eastAsia="宋体" w:cs="宋体"/>
                <w:sz w:val="21"/>
                <w:szCs w:val="21"/>
                <w:vertAlign w:val="subscript"/>
              </w:rPr>
              <w:t>eL</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实测屈服强度与屈服强度特征值之比R°</w:t>
            </w:r>
            <w:r>
              <w:rPr>
                <w:rFonts w:hint="eastAsia" w:ascii="宋体" w:hAnsi="宋体" w:eastAsia="宋体" w:cs="宋体"/>
                <w:sz w:val="21"/>
                <w:szCs w:val="21"/>
                <w:vertAlign w:val="subscript"/>
              </w:rPr>
              <w:t>eL</w:t>
            </w:r>
            <w:r>
              <w:rPr>
                <w:rFonts w:hint="eastAsia" w:ascii="宋体" w:hAnsi="宋体" w:eastAsia="宋体" w:cs="宋体"/>
                <w:sz w:val="21"/>
                <w:szCs w:val="21"/>
              </w:rPr>
              <w:t>/ R</w:t>
            </w:r>
            <w:r>
              <w:rPr>
                <w:rFonts w:hint="eastAsia" w:ascii="宋体" w:hAnsi="宋体" w:eastAsia="宋体" w:cs="宋体"/>
                <w:sz w:val="21"/>
                <w:szCs w:val="21"/>
                <w:vertAlign w:val="subscript"/>
              </w:rPr>
              <w:t>eL</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最大力总延伸率A</w:t>
            </w:r>
            <w:r>
              <w:rPr>
                <w:rFonts w:hint="eastAsia" w:ascii="宋体" w:hAnsi="宋体" w:eastAsia="宋体" w:cs="宋体"/>
                <w:sz w:val="21"/>
                <w:szCs w:val="21"/>
                <w:vertAlign w:val="subscript"/>
              </w:rPr>
              <w:t>gt</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jc w:val="center"/>
        </w:trPr>
        <w:tc>
          <w:tcPr>
            <w:tcW w:w="856"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w:t>
            </w:r>
          </w:p>
        </w:tc>
        <w:tc>
          <w:tcPr>
            <w:tcW w:w="128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工艺性能</w:t>
            </w: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弯曲性能</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反向弯曲性能</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w:t>
            </w:r>
          </w:p>
        </w:tc>
        <w:tc>
          <w:tcPr>
            <w:tcW w:w="128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化学</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成分</w:t>
            </w: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C</w:t>
            </w:r>
          </w:p>
        </w:tc>
        <w:tc>
          <w:tcPr>
            <w:tcW w:w="3404"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223.5—2008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223.11—2008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223.12—1991</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223.14—2000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223.19—1989</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223.23—2008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223.26—2008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223.40—2007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223.59—2008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223.63—2022</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223.85—2009</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223.86—2009</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4336—2016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20123—2006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20125—2006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Si</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Mn</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P</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S</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7" w:hRule="atLeast"/>
          <w:jc w:val="center"/>
        </w:trPr>
        <w:tc>
          <w:tcPr>
            <w:tcW w:w="8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4</w:t>
            </w:r>
          </w:p>
        </w:tc>
        <w:tc>
          <w:tcPr>
            <w:tcW w:w="473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碳当量C</w:t>
            </w:r>
            <w:r>
              <w:rPr>
                <w:rFonts w:hint="eastAsia" w:ascii="宋体" w:hAnsi="宋体" w:eastAsia="宋体" w:cs="宋体"/>
                <w:sz w:val="21"/>
                <w:szCs w:val="21"/>
                <w:vertAlign w:val="subscript"/>
              </w:rPr>
              <w:t>eq</w:t>
            </w:r>
          </w:p>
        </w:tc>
        <w:tc>
          <w:tcPr>
            <w:tcW w:w="340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5</w:t>
            </w:r>
          </w:p>
        </w:tc>
        <w:tc>
          <w:tcPr>
            <w:tcW w:w="1280"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尺寸外形</w:t>
            </w: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横肋高</w:t>
            </w:r>
            <w:r>
              <w:rPr>
                <w:rFonts w:hint="eastAsia" w:ascii="宋体" w:hAnsi="宋体" w:eastAsia="宋体" w:cs="宋体"/>
                <w:i/>
                <w:iCs/>
                <w:sz w:val="21"/>
                <w:szCs w:val="21"/>
              </w:rPr>
              <w:t>h</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肋间距</w:t>
            </w:r>
            <w:r>
              <w:rPr>
                <w:rFonts w:hint="eastAsia" w:ascii="宋体" w:hAnsi="宋体" w:eastAsia="宋体" w:cs="宋体"/>
                <w:i/>
                <w:iCs/>
                <w:sz w:val="21"/>
                <w:szCs w:val="21"/>
              </w:rPr>
              <w:t>l</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bookmarkStart w:id="0" w:name="_Hlk535941625"/>
            <w:r>
              <w:rPr>
                <w:rFonts w:hint="eastAsia" w:ascii="宋体" w:hAnsi="宋体" w:eastAsia="宋体" w:cs="宋体"/>
                <w:sz w:val="21"/>
                <w:szCs w:val="21"/>
              </w:rPr>
              <w:t>横肋末端最大间隙</w:t>
            </w:r>
            <w:bookmarkEnd w:id="0"/>
            <w:r>
              <w:rPr>
                <w:rFonts w:hint="eastAsia" w:ascii="宋体" w:hAnsi="宋体" w:eastAsia="宋体" w:cs="宋体"/>
                <w:i/>
                <w:iCs/>
                <w:sz w:val="21"/>
                <w:szCs w:val="21"/>
              </w:rPr>
              <w:t>f</w:t>
            </w:r>
            <w:r>
              <w:rPr>
                <w:rFonts w:hint="eastAsia" w:ascii="宋体" w:hAnsi="宋体" w:eastAsia="宋体" w:cs="宋体"/>
                <w:sz w:val="21"/>
                <w:szCs w:val="21"/>
                <w:vertAlign w:val="subscript"/>
              </w:rPr>
              <w:t>i</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280"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45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每米弯曲度</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8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6</w:t>
            </w:r>
          </w:p>
        </w:tc>
        <w:tc>
          <w:tcPr>
            <w:tcW w:w="473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重量偏差</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1499.2—2024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85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473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表面标志</w:t>
            </w:r>
          </w:p>
        </w:tc>
        <w:tc>
          <w:tcPr>
            <w:tcW w:w="340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bookmarkStart w:id="1" w:name="OLE_LINK1"/>
            <w:r>
              <w:rPr>
                <w:rFonts w:hint="eastAsia" w:ascii="宋体" w:hAnsi="宋体" w:eastAsia="宋体" w:cs="宋体"/>
                <w:sz w:val="21"/>
                <w:szCs w:val="21"/>
              </w:rPr>
              <w:t>GB 1499.2—2024</w:t>
            </w:r>
            <w:bookmarkEnd w:id="1"/>
          </w:p>
        </w:tc>
      </w:tr>
    </w:tbl>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2.2热轧光圆钢筋</w:t>
      </w:r>
    </w:p>
    <w:tbl>
      <w:tblPr>
        <w:tblStyle w:val="18"/>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492"/>
        <w:gridCol w:w="3217"/>
        <w:gridCol w:w="3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888" w:type="dxa"/>
            <w:tcBorders>
              <w:bottom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序号</w:t>
            </w:r>
          </w:p>
        </w:tc>
        <w:tc>
          <w:tcPr>
            <w:tcW w:w="4709" w:type="dxa"/>
            <w:gridSpan w:val="2"/>
            <w:tcBorders>
              <w:bottom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检验项目</w:t>
            </w:r>
          </w:p>
        </w:tc>
        <w:tc>
          <w:tcPr>
            <w:tcW w:w="3407" w:type="dxa"/>
            <w:tcBorders>
              <w:bottom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w:t>
            </w:r>
          </w:p>
        </w:tc>
        <w:tc>
          <w:tcPr>
            <w:tcW w:w="1492"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力学性能</w:t>
            </w: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下屈服强度R</w:t>
            </w:r>
            <w:r>
              <w:rPr>
                <w:rFonts w:hint="eastAsia" w:ascii="宋体" w:hAnsi="宋体" w:eastAsia="宋体" w:cs="宋体"/>
                <w:sz w:val="21"/>
                <w:szCs w:val="21"/>
                <w:vertAlign w:val="subscript"/>
              </w:rPr>
              <w:t>eL</w:t>
            </w:r>
          </w:p>
        </w:tc>
        <w:tc>
          <w:tcPr>
            <w:tcW w:w="340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1499.1—2024</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抗拉强度R</w:t>
            </w:r>
            <w:r>
              <w:rPr>
                <w:rFonts w:hint="eastAsia" w:ascii="宋体" w:hAnsi="宋体" w:eastAsia="宋体" w:cs="宋体"/>
                <w:sz w:val="21"/>
                <w:szCs w:val="21"/>
                <w:vertAlign w:val="subscript"/>
              </w:rPr>
              <w:t>m</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断后伸长率A</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最大力总延伸率A</w:t>
            </w:r>
            <w:r>
              <w:rPr>
                <w:rFonts w:hint="eastAsia" w:ascii="宋体" w:hAnsi="宋体" w:eastAsia="宋体" w:cs="宋体"/>
                <w:sz w:val="21"/>
                <w:szCs w:val="21"/>
                <w:vertAlign w:val="subscript"/>
              </w:rPr>
              <w:t>gt</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w:t>
            </w:r>
          </w:p>
        </w:tc>
        <w:tc>
          <w:tcPr>
            <w:tcW w:w="149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工艺性能</w:t>
            </w: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弯曲试验</w:t>
            </w:r>
          </w:p>
        </w:tc>
        <w:tc>
          <w:tcPr>
            <w:tcW w:w="340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1499.1—2024</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28900—2022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w:t>
            </w:r>
          </w:p>
        </w:tc>
        <w:tc>
          <w:tcPr>
            <w:tcW w:w="1492"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化学成分</w:t>
            </w: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C</w:t>
            </w:r>
          </w:p>
        </w:tc>
        <w:tc>
          <w:tcPr>
            <w:tcW w:w="340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223.5—2008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223.59—2008</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223.63—2022</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223.85—2009</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223.86—2009</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4336—2016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20123—2006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20125—2006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bookmarkStart w:id="2" w:name="_GoBack"/>
            <w:bookmarkEnd w:id="2"/>
            <w:r>
              <w:rPr>
                <w:rFonts w:hint="eastAsia" w:ascii="宋体" w:hAnsi="宋体" w:eastAsia="宋体" w:cs="宋体"/>
                <w:sz w:val="21"/>
                <w:szCs w:val="21"/>
              </w:rPr>
              <w:t>Si</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Mn</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P</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S</w:t>
            </w:r>
          </w:p>
        </w:tc>
        <w:tc>
          <w:tcPr>
            <w:tcW w:w="340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4</w:t>
            </w:r>
          </w:p>
        </w:tc>
        <w:tc>
          <w:tcPr>
            <w:tcW w:w="1492"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尺寸</w:t>
            </w: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不圆度</w:t>
            </w:r>
          </w:p>
        </w:tc>
        <w:tc>
          <w:tcPr>
            <w:tcW w:w="340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1492"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p>
        </w:tc>
        <w:tc>
          <w:tcPr>
            <w:tcW w:w="321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每米弯曲度</w:t>
            </w:r>
          </w:p>
        </w:tc>
        <w:tc>
          <w:tcPr>
            <w:tcW w:w="340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8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5</w:t>
            </w:r>
          </w:p>
        </w:tc>
        <w:tc>
          <w:tcPr>
            <w:tcW w:w="4709"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重量偏差</w:t>
            </w:r>
          </w:p>
        </w:tc>
        <w:tc>
          <w:tcPr>
            <w:tcW w:w="340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1499.1—2024</w:t>
            </w:r>
          </w:p>
        </w:tc>
      </w:tr>
    </w:tbl>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3.1依据标准</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1499.2-20</w:t>
      </w:r>
      <w:r>
        <w:rPr>
          <w:rFonts w:hint="eastAsia" w:ascii="Times New Roman" w:hAnsi="Times New Roman" w:eastAsia="仿宋_GB2312" w:cs="Times New Roman"/>
          <w:sz w:val="32"/>
          <w:szCs w:val="32"/>
        </w:rPr>
        <w:t>24</w:t>
      </w:r>
      <w:r>
        <w:rPr>
          <w:rFonts w:hint="default" w:ascii="Times New Roman" w:hAnsi="Times New Roman" w:eastAsia="仿宋_GB2312" w:cs="Times New Roman"/>
          <w:sz w:val="32"/>
          <w:szCs w:val="32"/>
        </w:rPr>
        <w:t>《钢筋混凝土用钢第2部分：热轧带肋钢筋》</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1499.1-20</w:t>
      </w:r>
      <w:r>
        <w:rPr>
          <w:rFonts w:hint="eastAsia" w:ascii="Times New Roman" w:hAnsi="Times New Roman" w:eastAsia="仿宋_GB2312" w:cs="Times New Roman"/>
          <w:sz w:val="32"/>
          <w:szCs w:val="32"/>
        </w:rPr>
        <w:t>24</w:t>
      </w:r>
      <w:r>
        <w:rPr>
          <w:rFonts w:hint="default" w:ascii="Times New Roman" w:hAnsi="Times New Roman" w:eastAsia="仿宋_GB2312" w:cs="Times New Roman"/>
          <w:sz w:val="32"/>
          <w:szCs w:val="32"/>
        </w:rPr>
        <w:t>《钢筋混凝土用钢 第1部分：热轧光圆钢筋》</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widowControl w:val="0"/>
        <w:wordWrap/>
        <w:adjustRightInd/>
        <w:snapToGrid w:val="0"/>
        <w:spacing w:line="560" w:lineRule="exact"/>
        <w:ind w:left="0" w:leftChars="0" w:right="0" w:firstLine="612" w:firstLineChars="199"/>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3.2判定原则</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widowControl w:val="0"/>
        <w:wordWrap/>
        <w:adjustRightInd/>
        <w:snapToGrid/>
        <w:spacing w:line="560" w:lineRule="exact"/>
        <w:ind w:left="0" w:leftChars="0" w:right="0" w:firstLine="612"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widowControl w:val="0"/>
        <w:wordWrap/>
        <w:adjustRightInd/>
        <w:spacing w:line="560" w:lineRule="exact"/>
        <w:ind w:left="0" w:leftChars="0" w:right="0" w:firstLine="612" w:firstLineChars="199"/>
        <w:textAlignment w:val="auto"/>
        <w:outlineLvl w:val="9"/>
      </w:pPr>
    </w:p>
    <w:sectPr>
      <w:pgSz w:w="11906" w:h="16838"/>
      <w:pgMar w:top="1440" w:right="1800" w:bottom="1440" w:left="1800"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汉仪雅酷黑-95J">
    <w:altName w:val="黑体"/>
    <w:panose1 w:val="00020600040101010101"/>
    <w:charset w:val="86"/>
    <w:family w:val="auto"/>
    <w:pitch w:val="default"/>
    <w:sig w:usb0="00000000" w:usb1="00000000" w:usb2="00000016" w:usb3="00000000" w:csb0="2004000F" w:csb1="00000000"/>
  </w:font>
  <w:font w:name="Calibri">
    <w:panose1 w:val="020F0502020204030204"/>
    <w:charset w:val="00"/>
    <w:family w:val="auto"/>
    <w:pitch w:val="default"/>
    <w:sig w:usb0="E00002FF" w:usb1="4000ACFF" w:usb2="00000001" w:usb3="00000000" w:csb0="2000019F" w:csb1="00000000"/>
  </w:font>
  <w:font w:name="汉仪正圆 55简">
    <w:altName w:val="宋体"/>
    <w:panose1 w:val="00020600040101010101"/>
    <w:charset w:val="86"/>
    <w:family w:val="auto"/>
    <w:pitch w:val="default"/>
    <w:sig w:usb0="00000000" w:usb1="00000000" w:usb2="00000016" w:usb3="00000000" w:csb0="0004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508084676">
    <w:nsid w:val="957E55C4"/>
    <w:multiLevelType w:val="multilevel"/>
    <w:tmpl w:val="957E55C4"/>
    <w:lvl w:ilvl="0" w:tentative="1">
      <w:start w:val="1"/>
      <w:numFmt w:val="chineseCounting"/>
      <w:pStyle w:val="2"/>
      <w:suff w:val="nothing"/>
      <w:lvlText w:val="%1、"/>
      <w:lvlJc w:val="left"/>
      <w:pPr>
        <w:tabs>
          <w:tab w:val="left" w:pos="0"/>
        </w:tabs>
        <w:ind w:left="4800" w:firstLine="400"/>
      </w:pPr>
      <w:rPr>
        <w:rFonts w:hint="eastAsia" w:eastAsia="汉仪雅酷黑-95J"/>
      </w:rPr>
    </w:lvl>
    <w:lvl w:ilvl="1" w:tentative="1">
      <w:start w:val="1"/>
      <w:numFmt w:val="decimal"/>
      <w:pStyle w:val="3"/>
      <w:suff w:val="nothing"/>
      <w:lvlText w:val="%2．"/>
      <w:lvlJc w:val="left"/>
      <w:pPr>
        <w:ind w:left="0" w:firstLine="400"/>
      </w:pPr>
      <w:rPr>
        <w:rFonts w:hint="eastAsia" w:ascii="汉仪雅酷黑-95J" w:hAnsi="汉仪雅酷黑-95J" w:eastAsia="汉仪雅酷黑-95J"/>
      </w:rPr>
    </w:lvl>
    <w:lvl w:ilvl="2" w:tentative="1">
      <w:start w:val="1"/>
      <w:numFmt w:val="decimal"/>
      <w:pStyle w:val="4"/>
      <w:suff w:val="nothing"/>
      <w:lvlText w:val="（%3）"/>
      <w:lvlJc w:val="left"/>
      <w:pPr>
        <w:ind w:left="0" w:firstLine="402"/>
      </w:pPr>
      <w:rPr>
        <w:rFonts w:hint="eastAsia" w:eastAsia="汉仪雅酷黑-95J"/>
      </w:rPr>
    </w:lvl>
    <w:lvl w:ilvl="3" w:tentative="1">
      <w:start w:val="1"/>
      <w:numFmt w:val="decimal"/>
      <w:pStyle w:val="5"/>
      <w:suff w:val="nothing"/>
      <w:lvlText w:val="%4）"/>
      <w:lvlJc w:val="left"/>
      <w:pPr>
        <w:tabs>
          <w:tab w:val="left" w:pos="0"/>
        </w:tabs>
        <w:ind w:left="0" w:firstLine="402"/>
      </w:pPr>
      <w:rPr>
        <w:rFonts w:hint="eastAsia" w:ascii="汉仪雅酷黑-95J" w:hAnsi="汉仪雅酷黑-95J" w:eastAsia="汉仪雅酷黑-95J" w:cs="Times New Roman"/>
      </w:rPr>
    </w:lvl>
    <w:lvl w:ilvl="4" w:tentative="1">
      <w:start w:val="1"/>
      <w:numFmt w:val="lowerLetter"/>
      <w:pStyle w:val="6"/>
      <w:suff w:val="nothing"/>
      <w:lvlText w:val="%5．"/>
      <w:lvlJc w:val="left"/>
      <w:pPr>
        <w:tabs>
          <w:tab w:val="left" w:pos="0"/>
        </w:tabs>
        <w:ind w:left="0" w:firstLine="402"/>
      </w:pPr>
      <w:rPr>
        <w:rFonts w:hint="eastAsia" w:eastAsia="汉仪雅酷黑-95J"/>
      </w:rPr>
    </w:lvl>
    <w:lvl w:ilvl="5" w:tentative="1">
      <w:start w:val="1"/>
      <w:numFmt w:val="lowerLetter"/>
      <w:pStyle w:val="7"/>
      <w:suff w:val="nothing"/>
      <w:lvlText w:val="%6）"/>
      <w:lvlJc w:val="left"/>
      <w:pPr>
        <w:ind w:left="0" w:firstLine="402"/>
      </w:pPr>
      <w:rPr>
        <w:rFonts w:hint="eastAsia" w:eastAsia="汉仪雅酷黑-95J"/>
      </w:rPr>
    </w:lvl>
    <w:lvl w:ilvl="6" w:tentative="1">
      <w:start w:val="1"/>
      <w:numFmt w:val="lowerRoman"/>
      <w:pStyle w:val="8"/>
      <w:suff w:val="nothing"/>
      <w:lvlText w:val="%7．"/>
      <w:lvlJc w:val="left"/>
      <w:pPr>
        <w:ind w:left="0" w:firstLine="402"/>
      </w:pPr>
      <w:rPr>
        <w:rFonts w:hint="eastAsia" w:eastAsia="汉仪雅酷黑-95J"/>
      </w:rPr>
    </w:lvl>
    <w:lvl w:ilvl="7" w:tentative="1">
      <w:start w:val="1"/>
      <w:numFmt w:val="lowerRoman"/>
      <w:pStyle w:val="9"/>
      <w:suff w:val="nothing"/>
      <w:lvlText w:val="%8）"/>
      <w:lvlJc w:val="left"/>
      <w:pPr>
        <w:ind w:left="0" w:firstLine="402"/>
      </w:pPr>
      <w:rPr>
        <w:rFonts w:hint="eastAsia" w:eastAsia="汉仪雅酷黑-95J"/>
      </w:rPr>
    </w:lvl>
    <w:lvl w:ilvl="8" w:tentative="1">
      <w:start w:val="1"/>
      <w:numFmt w:val="decimalEnclosedCircleChinese"/>
      <w:pStyle w:val="10"/>
      <w:suff w:val="nothing"/>
      <w:lvlText w:val="%9"/>
      <w:lvlJc w:val="left"/>
      <w:pPr>
        <w:ind w:left="0" w:firstLine="402"/>
      </w:pPr>
      <w:rPr>
        <w:rFonts w:hint="eastAsia" w:eastAsia="汉仪雅酷黑-95J"/>
      </w:rPr>
    </w:lvl>
  </w:abstractNum>
  <w:num w:numId="1">
    <w:abstractNumId w:val="25080846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jA2ZmExMzNkM2Y2YzhlOTA3MmIxMTMzNDEwMTMyZDYifQ=="/>
  </w:docVars>
  <w:rsids>
    <w:rsidRoot w:val="00FE51A5"/>
    <w:rsid w:val="0010346A"/>
    <w:rsid w:val="004E4CB4"/>
    <w:rsid w:val="0062509B"/>
    <w:rsid w:val="00770293"/>
    <w:rsid w:val="00B978B9"/>
    <w:rsid w:val="00DB21C4"/>
    <w:rsid w:val="00E45722"/>
    <w:rsid w:val="00F05B62"/>
    <w:rsid w:val="00F87621"/>
    <w:rsid w:val="00FE51A5"/>
    <w:rsid w:val="00FE567C"/>
    <w:rsid w:val="02442B2B"/>
    <w:rsid w:val="02D43E84"/>
    <w:rsid w:val="030012A9"/>
    <w:rsid w:val="03E50675"/>
    <w:rsid w:val="041D58B5"/>
    <w:rsid w:val="06F57AD7"/>
    <w:rsid w:val="07866E72"/>
    <w:rsid w:val="07AD5F04"/>
    <w:rsid w:val="0A3309F0"/>
    <w:rsid w:val="0D4F1669"/>
    <w:rsid w:val="11B8789F"/>
    <w:rsid w:val="16176A90"/>
    <w:rsid w:val="18A279B1"/>
    <w:rsid w:val="1EC661DE"/>
    <w:rsid w:val="22EA2E6A"/>
    <w:rsid w:val="263D3DB2"/>
    <w:rsid w:val="26BB42F5"/>
    <w:rsid w:val="28413671"/>
    <w:rsid w:val="291B62D2"/>
    <w:rsid w:val="296C6F38"/>
    <w:rsid w:val="29FD2AB1"/>
    <w:rsid w:val="2CFC6342"/>
    <w:rsid w:val="2D1E3997"/>
    <w:rsid w:val="2D653489"/>
    <w:rsid w:val="2DE95C61"/>
    <w:rsid w:val="2E16480A"/>
    <w:rsid w:val="2ECD4D76"/>
    <w:rsid w:val="31E64EF3"/>
    <w:rsid w:val="32F624AE"/>
    <w:rsid w:val="33270FFF"/>
    <w:rsid w:val="342E2B27"/>
    <w:rsid w:val="34D14335"/>
    <w:rsid w:val="399565E0"/>
    <w:rsid w:val="39A3518E"/>
    <w:rsid w:val="3AAE027F"/>
    <w:rsid w:val="3B4A32D5"/>
    <w:rsid w:val="3F5A36C8"/>
    <w:rsid w:val="45230F44"/>
    <w:rsid w:val="46862A18"/>
    <w:rsid w:val="47D139FF"/>
    <w:rsid w:val="49D41EB2"/>
    <w:rsid w:val="4CE2572F"/>
    <w:rsid w:val="4D9644E5"/>
    <w:rsid w:val="5311062D"/>
    <w:rsid w:val="534A5134"/>
    <w:rsid w:val="56EE6B35"/>
    <w:rsid w:val="5AEE5496"/>
    <w:rsid w:val="5AFA6CC8"/>
    <w:rsid w:val="5DC60467"/>
    <w:rsid w:val="5EAB3FD9"/>
    <w:rsid w:val="60AB5C90"/>
    <w:rsid w:val="60F919EB"/>
    <w:rsid w:val="68CD1043"/>
    <w:rsid w:val="68F15F32"/>
    <w:rsid w:val="6C5C00D6"/>
    <w:rsid w:val="6E1F49DE"/>
    <w:rsid w:val="7014496E"/>
    <w:rsid w:val="712A1F38"/>
    <w:rsid w:val="75271ADB"/>
    <w:rsid w:val="753C1CCA"/>
    <w:rsid w:val="768A31BE"/>
    <w:rsid w:val="76AC64E0"/>
    <w:rsid w:val="77AE203F"/>
    <w:rsid w:val="792A4668"/>
    <w:rsid w:val="7A411860"/>
    <w:rsid w:val="7C55120E"/>
    <w:rsid w:val="7E7F419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2">
    <w:name w:val="heading 1"/>
    <w:next w:val="1"/>
    <w:qFormat/>
    <w:uiPriority w:val="0"/>
    <w:pPr>
      <w:keepNext/>
      <w:keepLines/>
      <w:numPr>
        <w:ilvl w:val="0"/>
        <w:numId w:val="1"/>
      </w:numPr>
      <w:pBdr>
        <w:top w:val="none" w:color="auto" w:sz="0" w:space="1"/>
        <w:left w:val="none" w:color="auto" w:sz="0" w:space="4"/>
        <w:bottom w:val="none" w:color="629B53" w:sz="0" w:space="1"/>
        <w:right w:val="none" w:color="auto" w:sz="0" w:space="4"/>
      </w:pBdr>
      <w:adjustRightInd w:val="0"/>
      <w:snapToGrid w:val="0"/>
      <w:outlineLvl w:val="0"/>
    </w:pPr>
    <w:rPr>
      <w:rFonts w:ascii="汉仪雅酷黑-95J" w:hAnsi="汉仪雅酷黑-95J" w:eastAsia="黑体" w:cs="黑体"/>
      <w:kern w:val="44"/>
      <w:sz w:val="36"/>
      <w:szCs w:val="18"/>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黑体"/>
      <w:b/>
      <w:sz w:val="32"/>
      <w:szCs w:val="22"/>
    </w:rPr>
  </w:style>
  <w:style w:type="paragraph" w:styleId="4">
    <w:name w:val="heading 3"/>
    <w:basedOn w:val="1"/>
    <w:next w:val="1"/>
    <w:link w:val="22"/>
    <w:unhideWhenUsed/>
    <w:qFormat/>
    <w:uiPriority w:val="0"/>
    <w:pPr>
      <w:keepNext/>
      <w:keepLines/>
      <w:numPr>
        <w:ilvl w:val="2"/>
        <w:numId w:val="1"/>
      </w:numPr>
      <w:tabs>
        <w:tab w:val="left" w:pos="0"/>
      </w:tabs>
      <w:spacing w:before="260" w:after="260" w:line="413" w:lineRule="auto"/>
      <w:outlineLvl w:val="2"/>
    </w:pPr>
    <w:rPr>
      <w:rFonts w:ascii="Calibri" w:hAnsi="Calibri" w:eastAsia="黑体"/>
      <w:b/>
      <w:sz w:val="32"/>
      <w:szCs w:val="22"/>
    </w:rPr>
  </w:style>
  <w:style w:type="paragraph" w:styleId="5">
    <w:name w:val="heading 4"/>
    <w:basedOn w:val="1"/>
    <w:next w:val="1"/>
    <w:unhideWhenUsed/>
    <w:qFormat/>
    <w:uiPriority w:val="0"/>
    <w:pPr>
      <w:keepNext/>
      <w:keepLines/>
      <w:numPr>
        <w:ilvl w:val="3"/>
        <w:numId w:val="1"/>
      </w:numPr>
      <w:spacing w:before="280" w:after="290" w:line="720" w:lineRule="auto"/>
      <w:outlineLvl w:val="3"/>
    </w:pPr>
    <w:rPr>
      <w:rFonts w:ascii="Arial" w:hAnsi="Arial" w:eastAsia="黑体"/>
      <w:b/>
    </w:rPr>
  </w:style>
  <w:style w:type="paragraph" w:styleId="6">
    <w:name w:val="heading 5"/>
    <w:basedOn w:val="1"/>
    <w:next w:val="1"/>
    <w:unhideWhenUsed/>
    <w:qFormat/>
    <w:uiPriority w:val="0"/>
    <w:pPr>
      <w:keepNext/>
      <w:keepLines/>
      <w:numPr>
        <w:ilvl w:val="4"/>
        <w:numId w:val="1"/>
      </w:numPr>
      <w:spacing w:before="280" w:after="290" w:line="372" w:lineRule="auto"/>
      <w:outlineLvl w:val="4"/>
    </w:pPr>
    <w:rPr>
      <w:b/>
    </w:rPr>
  </w:style>
  <w:style w:type="paragraph" w:styleId="7">
    <w:name w:val="heading 6"/>
    <w:basedOn w:val="1"/>
    <w:next w:val="1"/>
    <w:unhideWhenUsed/>
    <w:qFormat/>
    <w:uiPriority w:val="0"/>
    <w:pPr>
      <w:keepNext/>
      <w:keepLines/>
      <w:numPr>
        <w:ilvl w:val="5"/>
        <w:numId w:val="1"/>
      </w:numPr>
      <w:tabs>
        <w:tab w:val="left" w:pos="0"/>
      </w:tabs>
      <w:spacing w:before="240" w:after="64" w:line="317" w:lineRule="auto"/>
      <w:outlineLvl w:val="5"/>
    </w:pPr>
    <w:rPr>
      <w:rFonts w:ascii="Arial" w:hAnsi="Arial" w:eastAsia="黑体"/>
      <w:b/>
      <w:sz w:val="24"/>
    </w:rPr>
  </w:style>
  <w:style w:type="paragraph" w:styleId="8">
    <w:name w:val="heading 7"/>
    <w:basedOn w:val="1"/>
    <w:next w:val="1"/>
    <w:unhideWhenUsed/>
    <w:qFormat/>
    <w:uiPriority w:val="0"/>
    <w:pPr>
      <w:keepNext/>
      <w:keepLines/>
      <w:numPr>
        <w:ilvl w:val="6"/>
        <w:numId w:val="1"/>
      </w:numPr>
      <w:tabs>
        <w:tab w:val="left" w:pos="0"/>
      </w:tabs>
      <w:spacing w:before="240" w:after="64" w:line="317" w:lineRule="auto"/>
      <w:outlineLvl w:val="6"/>
    </w:pPr>
    <w:rPr>
      <w:b/>
      <w:sz w:val="24"/>
    </w:rPr>
  </w:style>
  <w:style w:type="paragraph" w:styleId="9">
    <w:name w:val="heading 8"/>
    <w:basedOn w:val="1"/>
    <w:next w:val="1"/>
    <w:unhideWhenUsed/>
    <w:qFormat/>
    <w:uiPriority w:val="0"/>
    <w:pPr>
      <w:keepNext/>
      <w:keepLines/>
      <w:numPr>
        <w:ilvl w:val="7"/>
        <w:numId w:val="1"/>
      </w:numPr>
      <w:tabs>
        <w:tab w:val="left" w:pos="0"/>
      </w:tabs>
      <w:spacing w:before="240" w:after="64" w:line="317" w:lineRule="auto"/>
      <w:outlineLvl w:val="7"/>
    </w:pPr>
    <w:rPr>
      <w:rFonts w:ascii="Arial" w:hAnsi="Arial" w:eastAsia="黑体"/>
      <w:sz w:val="24"/>
    </w:rPr>
  </w:style>
  <w:style w:type="paragraph" w:styleId="10">
    <w:name w:val="heading 9"/>
    <w:basedOn w:val="1"/>
    <w:next w:val="1"/>
    <w:unhideWhenUsed/>
    <w:qFormat/>
    <w:uiPriority w:val="0"/>
    <w:pPr>
      <w:keepNext/>
      <w:keepLines/>
      <w:numPr>
        <w:ilvl w:val="8"/>
        <w:numId w:val="1"/>
      </w:numPr>
      <w:tabs>
        <w:tab w:val="left" w:pos="0"/>
      </w:tabs>
      <w:spacing w:before="240" w:after="64" w:line="317" w:lineRule="auto"/>
      <w:outlineLvl w:val="8"/>
    </w:pPr>
    <w:rPr>
      <w:rFonts w:ascii="Arial" w:hAnsi="Arial" w:eastAsia="黑体"/>
      <w:sz w:val="21"/>
    </w:rPr>
  </w:style>
  <w:style w:type="character" w:default="1" w:styleId="16">
    <w:name w:val="Default Paragraph Font"/>
    <w:unhideWhenUsed/>
    <w:qFormat/>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11">
    <w:name w:val="annotation text"/>
    <w:basedOn w:val="1"/>
    <w:qFormat/>
    <w:uiPriority w:val="0"/>
    <w:pPr>
      <w:jc w:val="left"/>
    </w:pPr>
  </w:style>
  <w:style w:type="paragraph" w:styleId="12">
    <w:name w:val="toc 3"/>
    <w:basedOn w:val="1"/>
    <w:next w:val="1"/>
    <w:link w:val="20"/>
    <w:qFormat/>
    <w:uiPriority w:val="0"/>
    <w:pPr>
      <w:spacing w:line="360" w:lineRule="auto"/>
      <w:ind w:left="840" w:leftChars="400"/>
    </w:pPr>
    <w:rPr>
      <w:rFonts w:ascii="Calibri" w:hAnsi="Calibri"/>
      <w:szCs w:val="22"/>
    </w:rPr>
  </w:style>
  <w:style w:type="paragraph" w:styleId="13">
    <w:name w:val="Plain Text"/>
    <w:basedOn w:val="1"/>
    <w:unhideWhenUsed/>
    <w:qFormat/>
    <w:uiPriority w:val="99"/>
    <w:rPr>
      <w:rFonts w:ascii="宋体" w:hAnsi="Courier New"/>
      <w:sz w:val="32"/>
      <w:szCs w:val="21"/>
    </w:rPr>
  </w:style>
  <w:style w:type="paragraph" w:styleId="14">
    <w:name w:val="toc 1"/>
    <w:basedOn w:val="1"/>
    <w:next w:val="1"/>
    <w:qFormat/>
    <w:uiPriority w:val="0"/>
    <w:pPr>
      <w:spacing w:line="200" w:lineRule="atLeast"/>
    </w:pPr>
    <w:rPr>
      <w:rFonts w:ascii="Calibri" w:hAnsi="Calibri"/>
    </w:rPr>
  </w:style>
  <w:style w:type="paragraph" w:styleId="15">
    <w:name w:val="toc 2"/>
    <w:basedOn w:val="1"/>
    <w:next w:val="1"/>
    <w:link w:val="21"/>
    <w:qFormat/>
    <w:uiPriority w:val="0"/>
    <w:pPr>
      <w:spacing w:line="360" w:lineRule="auto"/>
      <w:ind w:left="340"/>
    </w:pPr>
    <w:rPr>
      <w:rFonts w:ascii="汉仪正圆 55简" w:hAnsi="汉仪正圆 55简"/>
      <w:szCs w:val="21"/>
    </w:rPr>
  </w:style>
  <w:style w:type="character" w:styleId="17">
    <w:name w:val="Strong"/>
    <w:basedOn w:val="16"/>
    <w:qFormat/>
    <w:uiPriority w:val="0"/>
    <w:rPr>
      <w:b/>
    </w:rPr>
  </w:style>
  <w:style w:type="paragraph" w:customStyle="1" w:styleId="19">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character" w:customStyle="1" w:styleId="20">
    <w:name w:val="目录 3 字符"/>
    <w:link w:val="12"/>
    <w:qFormat/>
    <w:uiPriority w:val="39"/>
    <w:rPr>
      <w:rFonts w:ascii="Calibri" w:hAnsi="Calibri" w:eastAsia="宋体" w:cs="Times New Roman"/>
      <w:szCs w:val="22"/>
    </w:rPr>
  </w:style>
  <w:style w:type="character" w:customStyle="1" w:styleId="21">
    <w:name w:val="目录 2 字符"/>
    <w:link w:val="15"/>
    <w:qFormat/>
    <w:uiPriority w:val="39"/>
    <w:rPr>
      <w:rFonts w:ascii="汉仪正圆 55简" w:hAnsi="汉仪正圆 55简" w:eastAsia="宋体" w:cs="Times New Roman"/>
      <w:sz w:val="21"/>
      <w:szCs w:val="21"/>
    </w:rPr>
  </w:style>
  <w:style w:type="character" w:customStyle="1" w:styleId="22">
    <w:name w:val="标题 3 字符"/>
    <w:link w:val="4"/>
    <w:qFormat/>
    <w:uiPriority w:val="0"/>
    <w:rPr>
      <w:rFonts w:ascii="Calibri" w:hAnsi="Calibri" w:eastAsia="黑体" w:cs="Times New Roman"/>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Win7</Company>
  <Pages>5</Pages>
  <Words>1669</Words>
  <Characters>2234</Characters>
  <Lines>32</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2025-04-01T02:53:00Z</dcterms:created>
  <dc:creator>admin</dc:creator>
  <cp:lastModifiedBy>杨艳华</cp:lastModifiedBy>
  <dcterms:modified xsi:type="dcterms:W3CDTF">2025-06-05T03:08:51Z</dcterms:modified>
  <dc:title>清远市市场监督管理局建筑钢材产品质量监督抽查实施细则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C449F24E71A143618BC38A031E8CD823_13</vt:lpwstr>
  </property>
  <property fmtid="{D5CDD505-2E9C-101B-9397-08002B2CF9AE}" pid="4" name="KSOTemplateDocerSaveRecord">
    <vt:lpwstr>eyJoZGlkIjoiYjRlM2I0OTMzZWY0MDUwZjRiYWY5ZjVjZmYwN2RkOTYiLCJ1c2VySWQiOiIzNTE5NjY0NDcifQ==</vt:lpwstr>
  </property>
</Properties>
</file>