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widowControl/>
        <w:spacing w:before="1092" w:beforeLines="350" w:after="1248" w:afterLines="400" w:line="960" w:lineRule="exact"/>
        <w:jc w:val="center"/>
        <w:outlineLvl w:val="0"/>
        <w:rPr>
          <w:rFonts w:eastAsia="黑体"/>
          <w:bCs/>
          <w:color w:val="000000"/>
          <w:kern w:val="44"/>
          <w:sz w:val="44"/>
          <w:szCs w:val="44"/>
          <w:lang w:bidi="en-US"/>
        </w:rPr>
      </w:pPr>
      <w:bookmarkStart w:id="0" w:name="_Toc530928120"/>
      <w:bookmarkStart w:id="1" w:name="_Toc48053741"/>
      <w:r>
        <w:rPr>
          <w:rFonts w:eastAsia="黑体"/>
          <w:bCs/>
          <w:color w:val="000000"/>
          <w:kern w:val="44"/>
          <w:sz w:val="44"/>
          <w:szCs w:val="44"/>
          <w:lang w:bidi="en-US"/>
        </w:rPr>
        <w:t xml:space="preserve">第一章  </w:t>
      </w:r>
      <w:r>
        <w:rPr>
          <w:rFonts w:hint="eastAsia" w:eastAsia="黑体"/>
          <w:bCs/>
          <w:color w:val="000000"/>
          <w:kern w:val="44"/>
          <w:sz w:val="44"/>
          <w:szCs w:val="44"/>
          <w:lang w:bidi="en-US"/>
        </w:rPr>
        <w:t>评估说明</w:t>
      </w:r>
      <w:bookmarkEnd w:id="0"/>
      <w:bookmarkEnd w:id="1"/>
    </w:p>
    <w:p>
      <w:pPr>
        <w:keepNext/>
        <w:keepLines/>
        <w:widowControl/>
        <w:spacing w:before="260" w:after="260" w:line="415" w:lineRule="auto"/>
        <w:outlineLvl w:val="1"/>
        <w:rPr>
          <w:rFonts w:eastAsia="黑体"/>
          <w:bCs/>
          <w:sz w:val="32"/>
          <w:szCs w:val="32"/>
        </w:rPr>
      </w:pPr>
      <w:bookmarkStart w:id="2" w:name="_Toc308183586"/>
      <w:bookmarkStart w:id="3" w:name="_Toc308214746"/>
      <w:bookmarkStart w:id="4" w:name="_Toc370928731"/>
      <w:bookmarkStart w:id="5" w:name="_Toc48053742"/>
      <w:r>
        <w:rPr>
          <w:rFonts w:hint="eastAsia" w:eastAsia="黑体"/>
          <w:bCs/>
          <w:sz w:val="32"/>
          <w:szCs w:val="32"/>
        </w:rPr>
        <w:t>1.</w:t>
      </w:r>
      <w:r>
        <w:rPr>
          <w:rFonts w:eastAsia="黑体"/>
          <w:bCs/>
          <w:sz w:val="32"/>
          <w:szCs w:val="32"/>
        </w:rPr>
        <w:t>1 项目名称</w:t>
      </w:r>
      <w:bookmarkEnd w:id="2"/>
      <w:bookmarkEnd w:id="3"/>
      <w:bookmarkEnd w:id="4"/>
      <w:bookmarkEnd w:id="5"/>
    </w:p>
    <w:p>
      <w:pPr>
        <w:widowControl/>
        <w:spacing w:after="120" w:line="500" w:lineRule="exact"/>
        <w:ind w:firstLine="560" w:firstLineChars="200"/>
        <w:rPr>
          <w:sz w:val="28"/>
          <w:szCs w:val="21"/>
        </w:rPr>
      </w:pPr>
      <w:r>
        <w:rPr>
          <w:rFonts w:hint="eastAsia"/>
          <w:sz w:val="28"/>
          <w:szCs w:val="21"/>
        </w:rPr>
        <w:t>清远高新区区域评估雷电灾害风险评估</w:t>
      </w:r>
    </w:p>
    <w:p>
      <w:pPr>
        <w:keepNext/>
        <w:keepLines/>
        <w:widowControl/>
        <w:spacing w:before="260" w:after="260" w:line="415" w:lineRule="auto"/>
        <w:outlineLvl w:val="1"/>
        <w:rPr>
          <w:rFonts w:eastAsia="黑体"/>
          <w:bCs/>
          <w:color w:val="000000"/>
          <w:sz w:val="32"/>
          <w:szCs w:val="32"/>
        </w:rPr>
      </w:pPr>
      <w:bookmarkStart w:id="6" w:name="_Toc48053743"/>
      <w:bookmarkStart w:id="7" w:name="_Toc370928732"/>
      <w:r>
        <w:rPr>
          <w:rFonts w:hint="eastAsia" w:eastAsia="黑体"/>
          <w:bCs/>
          <w:color w:val="000000"/>
          <w:sz w:val="32"/>
          <w:szCs w:val="32"/>
        </w:rPr>
        <w:t>1.</w:t>
      </w:r>
      <w:r>
        <w:rPr>
          <w:rFonts w:eastAsia="黑体"/>
          <w:bCs/>
          <w:color w:val="000000"/>
          <w:sz w:val="32"/>
          <w:szCs w:val="32"/>
        </w:rPr>
        <w:t>2 委托单位</w:t>
      </w:r>
      <w:bookmarkEnd w:id="6"/>
      <w:bookmarkEnd w:id="7"/>
    </w:p>
    <w:p>
      <w:pPr>
        <w:widowControl/>
        <w:spacing w:after="120" w:line="500" w:lineRule="exact"/>
        <w:ind w:firstLine="560" w:firstLineChars="200"/>
        <w:rPr>
          <w:bCs/>
          <w:color w:val="000000"/>
          <w:sz w:val="28"/>
          <w:szCs w:val="21"/>
        </w:rPr>
      </w:pPr>
      <w:r>
        <w:rPr>
          <w:rFonts w:hint="eastAsia"/>
          <w:color w:val="000000"/>
          <w:sz w:val="28"/>
          <w:szCs w:val="21"/>
        </w:rPr>
        <w:t>广东清远高新技术产业开发区管理委员会建设局</w:t>
      </w:r>
    </w:p>
    <w:p>
      <w:pPr>
        <w:keepNext/>
        <w:keepLines/>
        <w:widowControl/>
        <w:spacing w:before="260" w:after="260" w:line="415" w:lineRule="auto"/>
        <w:outlineLvl w:val="1"/>
        <w:rPr>
          <w:rFonts w:eastAsia="黑体"/>
          <w:bCs/>
          <w:sz w:val="32"/>
          <w:szCs w:val="32"/>
        </w:rPr>
      </w:pPr>
      <w:bookmarkStart w:id="8" w:name="_Toc370928733"/>
      <w:bookmarkStart w:id="9" w:name="_Toc48053744"/>
      <w:r>
        <w:rPr>
          <w:rFonts w:hint="eastAsia" w:eastAsia="黑体"/>
          <w:bCs/>
          <w:sz w:val="32"/>
          <w:szCs w:val="32"/>
        </w:rPr>
        <w:t>1.</w:t>
      </w:r>
      <w:r>
        <w:rPr>
          <w:rFonts w:eastAsia="黑体"/>
          <w:bCs/>
          <w:sz w:val="32"/>
          <w:szCs w:val="32"/>
        </w:rPr>
        <w:t xml:space="preserve">3 </w:t>
      </w:r>
      <w:r>
        <w:rPr>
          <w:rFonts w:hint="eastAsia" w:eastAsia="黑体"/>
          <w:bCs/>
          <w:sz w:val="32"/>
          <w:szCs w:val="32"/>
        </w:rPr>
        <w:t>项目</w:t>
      </w:r>
      <w:r>
        <w:rPr>
          <w:rFonts w:eastAsia="黑体"/>
          <w:bCs/>
          <w:sz w:val="32"/>
          <w:szCs w:val="32"/>
        </w:rPr>
        <w:t>地点</w:t>
      </w:r>
      <w:bookmarkEnd w:id="8"/>
      <w:bookmarkEnd w:id="9"/>
    </w:p>
    <w:p>
      <w:pPr>
        <w:widowControl/>
        <w:spacing w:after="120" w:line="500" w:lineRule="exact"/>
        <w:ind w:firstLine="560" w:firstLineChars="200"/>
        <w:rPr>
          <w:sz w:val="28"/>
          <w:szCs w:val="21"/>
        </w:rPr>
      </w:pPr>
      <w:r>
        <w:rPr>
          <w:rFonts w:hint="eastAsia"/>
          <w:sz w:val="28"/>
          <w:szCs w:val="21"/>
        </w:rPr>
        <w:t>广东清远高新技术产业开发区总体规划范围分为三部分：北部片区、东部片区和西部片区。本次评估的园区位于北部片区和东部片区。其中，北部片区东至广清大道、西至城西大道、南至大燕河，北至湖城大道；东部片区东南至清远行政边界，西至广清高速及京广铁路，北至在建佛清从高速。</w:t>
      </w:r>
    </w:p>
    <w:p>
      <w:pPr>
        <w:keepNext/>
        <w:keepLines/>
        <w:widowControl/>
        <w:spacing w:before="260" w:after="260" w:line="415" w:lineRule="auto"/>
        <w:outlineLvl w:val="1"/>
        <w:rPr>
          <w:rFonts w:eastAsia="黑体"/>
          <w:bCs/>
          <w:sz w:val="32"/>
          <w:szCs w:val="32"/>
        </w:rPr>
      </w:pPr>
      <w:bookmarkStart w:id="10" w:name="_Toc48053745"/>
      <w:r>
        <w:rPr>
          <w:rFonts w:hint="eastAsia" w:eastAsia="黑体"/>
          <w:bCs/>
          <w:sz w:val="32"/>
          <w:szCs w:val="32"/>
        </w:rPr>
        <w:t>1.4 评估范围</w:t>
      </w:r>
      <w:bookmarkEnd w:id="10"/>
    </w:p>
    <w:p>
      <w:pPr>
        <w:widowControl/>
        <w:spacing w:after="120" w:line="500" w:lineRule="exact"/>
        <w:ind w:firstLine="560" w:firstLineChars="200"/>
        <w:rPr>
          <w:sz w:val="28"/>
          <w:szCs w:val="21"/>
        </w:rPr>
      </w:pPr>
      <w:r>
        <w:rPr>
          <w:rFonts w:hint="eastAsia"/>
          <w:sz w:val="28"/>
          <w:szCs w:val="21"/>
        </w:rPr>
        <w:t>以委托方提供的《广东清远高新技术产业开发区总体规划（2013-2030）》（以下简称总体规划）及相关资料图纸为工作基础，按照《清远高新区区域评估雷电灾害风险评估技术服务合同》所约定内容，对清远高新区进行区域雷电灾害风险评估。本次清远高新区区域评估范围为开发区内新建和尚未建成的八个工业园区（见表1.1-1），共计约82.477 km</w:t>
      </w:r>
      <w:r>
        <w:rPr>
          <w:rFonts w:hint="eastAsia"/>
          <w:sz w:val="28"/>
          <w:szCs w:val="21"/>
          <w:vertAlign w:val="superscript"/>
        </w:rPr>
        <w:t>2</w:t>
      </w:r>
      <w:r>
        <w:rPr>
          <w:rFonts w:hint="eastAsia"/>
          <w:sz w:val="28"/>
          <w:szCs w:val="21"/>
        </w:rPr>
        <w:t>，主要包括：</w:t>
      </w:r>
    </w:p>
    <w:p>
      <w:pPr>
        <w:keepNext/>
        <w:snapToGrid w:val="0"/>
        <w:spacing w:before="312" w:beforeLines="100" w:after="156" w:afterLines="50"/>
        <w:jc w:val="center"/>
        <w:rPr>
          <w:rFonts w:eastAsia="黑体"/>
          <w:sz w:val="24"/>
          <w:szCs w:val="21"/>
          <w:lang w:val="en-GB"/>
        </w:rPr>
      </w:pPr>
      <w:r>
        <w:rPr>
          <w:rFonts w:hint="eastAsia" w:eastAsia="黑体"/>
          <w:sz w:val="24"/>
          <w:szCs w:val="21"/>
          <w:lang w:val="en-GB"/>
        </w:rPr>
        <w:t>表1.1-1  清远高新区区域雷电灾害风险评估范围</w:t>
      </w:r>
    </w:p>
    <w:tbl>
      <w:tblPr>
        <w:tblStyle w:val="6"/>
        <w:tblW w:w="907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59"/>
        <w:gridCol w:w="2977"/>
        <w:gridCol w:w="2409"/>
        <w:gridCol w:w="27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959" w:type="dxa"/>
            <w:vAlign w:val="center"/>
          </w:tcPr>
          <w:p>
            <w:pPr>
              <w:widowControl/>
              <w:jc w:val="center"/>
              <w:rPr>
                <w:b/>
                <w:szCs w:val="21"/>
              </w:rPr>
            </w:pPr>
            <w:r>
              <w:rPr>
                <w:rFonts w:hint="eastAsia"/>
                <w:b/>
                <w:szCs w:val="21"/>
              </w:rPr>
              <w:t>序号</w:t>
            </w:r>
          </w:p>
        </w:tc>
        <w:tc>
          <w:tcPr>
            <w:tcW w:w="2977" w:type="dxa"/>
            <w:vAlign w:val="center"/>
          </w:tcPr>
          <w:p>
            <w:pPr>
              <w:widowControl/>
              <w:jc w:val="center"/>
              <w:rPr>
                <w:b/>
                <w:szCs w:val="21"/>
              </w:rPr>
            </w:pPr>
            <w:r>
              <w:rPr>
                <w:rFonts w:hint="eastAsia"/>
                <w:b/>
                <w:szCs w:val="21"/>
              </w:rPr>
              <w:t>名称</w:t>
            </w:r>
          </w:p>
        </w:tc>
        <w:tc>
          <w:tcPr>
            <w:tcW w:w="2409" w:type="dxa"/>
            <w:vAlign w:val="center"/>
          </w:tcPr>
          <w:p>
            <w:pPr>
              <w:widowControl/>
              <w:jc w:val="center"/>
              <w:rPr>
                <w:b/>
                <w:szCs w:val="21"/>
              </w:rPr>
            </w:pPr>
            <w:r>
              <w:rPr>
                <w:rFonts w:hint="eastAsia"/>
                <w:b/>
                <w:szCs w:val="21"/>
              </w:rPr>
              <w:t>面积（km</w:t>
            </w:r>
            <w:r>
              <w:rPr>
                <w:rFonts w:hint="eastAsia"/>
                <w:b/>
                <w:szCs w:val="21"/>
                <w:vertAlign w:val="superscript"/>
              </w:rPr>
              <w:t>2</w:t>
            </w:r>
            <w:r>
              <w:rPr>
                <w:rFonts w:hint="eastAsia"/>
                <w:b/>
                <w:szCs w:val="21"/>
              </w:rPr>
              <w:t>）</w:t>
            </w:r>
          </w:p>
        </w:tc>
        <w:tc>
          <w:tcPr>
            <w:tcW w:w="2727" w:type="dxa"/>
            <w:vAlign w:val="center"/>
          </w:tcPr>
          <w:p>
            <w:pPr>
              <w:widowControl/>
              <w:jc w:val="center"/>
              <w:rPr>
                <w:b/>
                <w:szCs w:val="21"/>
              </w:rPr>
            </w:pPr>
            <w:r>
              <w:rPr>
                <w:rFonts w:hint="eastAsia"/>
                <w:b/>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959" w:type="dxa"/>
            <w:vAlign w:val="center"/>
          </w:tcPr>
          <w:p>
            <w:pPr>
              <w:widowControl/>
              <w:jc w:val="center"/>
              <w:rPr>
                <w:szCs w:val="21"/>
              </w:rPr>
            </w:pPr>
            <w:r>
              <w:rPr>
                <w:rFonts w:hint="eastAsia"/>
                <w:szCs w:val="21"/>
              </w:rPr>
              <w:t>1</w:t>
            </w:r>
          </w:p>
        </w:tc>
        <w:tc>
          <w:tcPr>
            <w:tcW w:w="2977" w:type="dxa"/>
            <w:vAlign w:val="center"/>
          </w:tcPr>
          <w:p>
            <w:pPr>
              <w:widowControl/>
              <w:jc w:val="center"/>
              <w:rPr>
                <w:szCs w:val="21"/>
              </w:rPr>
            </w:pPr>
            <w:r>
              <w:rPr>
                <w:rFonts w:hint="eastAsia"/>
                <w:szCs w:val="21"/>
              </w:rPr>
              <w:t>百嘉科技园</w:t>
            </w:r>
          </w:p>
        </w:tc>
        <w:tc>
          <w:tcPr>
            <w:tcW w:w="2409" w:type="dxa"/>
            <w:vAlign w:val="center"/>
          </w:tcPr>
          <w:p>
            <w:pPr>
              <w:widowControl/>
              <w:jc w:val="center"/>
              <w:rPr>
                <w:szCs w:val="21"/>
              </w:rPr>
            </w:pPr>
            <w:r>
              <w:rPr>
                <w:rFonts w:hint="eastAsia"/>
                <w:szCs w:val="21"/>
              </w:rPr>
              <w:t>12.06</w:t>
            </w:r>
          </w:p>
        </w:tc>
        <w:tc>
          <w:tcPr>
            <w:tcW w:w="2727" w:type="dxa"/>
            <w:vAlign w:val="center"/>
          </w:tcPr>
          <w:p>
            <w:pPr>
              <w:widowControl/>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959" w:type="dxa"/>
            <w:vAlign w:val="center"/>
          </w:tcPr>
          <w:p>
            <w:pPr>
              <w:widowControl/>
              <w:jc w:val="center"/>
              <w:rPr>
                <w:szCs w:val="21"/>
              </w:rPr>
            </w:pPr>
            <w:r>
              <w:rPr>
                <w:rFonts w:hint="eastAsia"/>
                <w:szCs w:val="21"/>
              </w:rPr>
              <w:t>2</w:t>
            </w:r>
          </w:p>
        </w:tc>
        <w:tc>
          <w:tcPr>
            <w:tcW w:w="2977" w:type="dxa"/>
            <w:vAlign w:val="center"/>
          </w:tcPr>
          <w:p>
            <w:pPr>
              <w:widowControl/>
              <w:jc w:val="center"/>
              <w:rPr>
                <w:szCs w:val="21"/>
              </w:rPr>
            </w:pPr>
            <w:r>
              <w:rPr>
                <w:rFonts w:hint="eastAsia"/>
                <w:szCs w:val="21"/>
              </w:rPr>
              <w:t>银源工业小区</w:t>
            </w:r>
          </w:p>
        </w:tc>
        <w:tc>
          <w:tcPr>
            <w:tcW w:w="2409" w:type="dxa"/>
            <w:vAlign w:val="center"/>
          </w:tcPr>
          <w:p>
            <w:pPr>
              <w:widowControl/>
              <w:jc w:val="center"/>
              <w:rPr>
                <w:szCs w:val="21"/>
              </w:rPr>
            </w:pPr>
            <w:r>
              <w:rPr>
                <w:rFonts w:hint="eastAsia"/>
                <w:szCs w:val="21"/>
              </w:rPr>
              <w:t>3.14</w:t>
            </w:r>
          </w:p>
        </w:tc>
        <w:tc>
          <w:tcPr>
            <w:tcW w:w="2727" w:type="dxa"/>
            <w:vAlign w:val="center"/>
          </w:tcPr>
          <w:p>
            <w:pPr>
              <w:widowControl/>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959" w:type="dxa"/>
            <w:vAlign w:val="center"/>
          </w:tcPr>
          <w:p>
            <w:pPr>
              <w:widowControl/>
              <w:jc w:val="center"/>
              <w:rPr>
                <w:szCs w:val="21"/>
              </w:rPr>
            </w:pPr>
            <w:r>
              <w:rPr>
                <w:rFonts w:hint="eastAsia"/>
                <w:szCs w:val="21"/>
              </w:rPr>
              <w:t>3</w:t>
            </w:r>
          </w:p>
        </w:tc>
        <w:tc>
          <w:tcPr>
            <w:tcW w:w="2977" w:type="dxa"/>
            <w:vAlign w:val="center"/>
          </w:tcPr>
          <w:p>
            <w:pPr>
              <w:widowControl/>
              <w:jc w:val="center"/>
              <w:rPr>
                <w:szCs w:val="21"/>
              </w:rPr>
            </w:pPr>
            <w:r>
              <w:rPr>
                <w:rFonts w:hint="eastAsia"/>
                <w:szCs w:val="21"/>
              </w:rPr>
              <w:t>莲湖产业园</w:t>
            </w:r>
          </w:p>
        </w:tc>
        <w:tc>
          <w:tcPr>
            <w:tcW w:w="2409" w:type="dxa"/>
            <w:vAlign w:val="center"/>
          </w:tcPr>
          <w:p>
            <w:pPr>
              <w:widowControl/>
              <w:jc w:val="center"/>
              <w:rPr>
                <w:szCs w:val="21"/>
              </w:rPr>
            </w:pPr>
            <w:r>
              <w:rPr>
                <w:rFonts w:hint="eastAsia"/>
                <w:szCs w:val="21"/>
              </w:rPr>
              <w:t>33.38</w:t>
            </w:r>
          </w:p>
        </w:tc>
        <w:tc>
          <w:tcPr>
            <w:tcW w:w="2727" w:type="dxa"/>
            <w:vAlign w:val="center"/>
          </w:tcPr>
          <w:p>
            <w:pPr>
              <w:widowControl/>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959" w:type="dxa"/>
            <w:vAlign w:val="center"/>
          </w:tcPr>
          <w:p>
            <w:pPr>
              <w:widowControl/>
              <w:jc w:val="center"/>
              <w:rPr>
                <w:szCs w:val="21"/>
              </w:rPr>
            </w:pPr>
            <w:r>
              <w:rPr>
                <w:rFonts w:hint="eastAsia"/>
                <w:szCs w:val="21"/>
              </w:rPr>
              <w:t>4</w:t>
            </w:r>
          </w:p>
        </w:tc>
        <w:tc>
          <w:tcPr>
            <w:tcW w:w="2977" w:type="dxa"/>
            <w:vAlign w:val="center"/>
          </w:tcPr>
          <w:p>
            <w:pPr>
              <w:widowControl/>
              <w:jc w:val="center"/>
              <w:rPr>
                <w:szCs w:val="21"/>
              </w:rPr>
            </w:pPr>
            <w:r>
              <w:rPr>
                <w:rFonts w:hint="eastAsia"/>
                <w:szCs w:val="21"/>
              </w:rPr>
              <w:t>光电产业园</w:t>
            </w:r>
          </w:p>
        </w:tc>
        <w:tc>
          <w:tcPr>
            <w:tcW w:w="2409" w:type="dxa"/>
            <w:vAlign w:val="center"/>
          </w:tcPr>
          <w:p>
            <w:pPr>
              <w:widowControl/>
              <w:jc w:val="center"/>
              <w:rPr>
                <w:szCs w:val="21"/>
              </w:rPr>
            </w:pPr>
            <w:r>
              <w:rPr>
                <w:rFonts w:hint="eastAsia"/>
                <w:szCs w:val="21"/>
              </w:rPr>
              <w:t>14.73</w:t>
            </w:r>
          </w:p>
        </w:tc>
        <w:tc>
          <w:tcPr>
            <w:tcW w:w="2727" w:type="dxa"/>
            <w:vAlign w:val="center"/>
          </w:tcPr>
          <w:p>
            <w:pPr>
              <w:widowControl/>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959" w:type="dxa"/>
            <w:vAlign w:val="center"/>
          </w:tcPr>
          <w:p>
            <w:pPr>
              <w:widowControl/>
              <w:jc w:val="center"/>
              <w:rPr>
                <w:szCs w:val="21"/>
              </w:rPr>
            </w:pPr>
            <w:r>
              <w:rPr>
                <w:rFonts w:hint="eastAsia"/>
                <w:szCs w:val="21"/>
              </w:rPr>
              <w:t>5</w:t>
            </w:r>
          </w:p>
        </w:tc>
        <w:tc>
          <w:tcPr>
            <w:tcW w:w="2977" w:type="dxa"/>
            <w:vAlign w:val="center"/>
          </w:tcPr>
          <w:p>
            <w:pPr>
              <w:widowControl/>
              <w:jc w:val="center"/>
              <w:rPr>
                <w:szCs w:val="21"/>
              </w:rPr>
            </w:pPr>
            <w:r>
              <w:rPr>
                <w:rFonts w:hint="eastAsia"/>
                <w:szCs w:val="21"/>
              </w:rPr>
              <w:t>雄兴工业园</w:t>
            </w:r>
          </w:p>
        </w:tc>
        <w:tc>
          <w:tcPr>
            <w:tcW w:w="2409" w:type="dxa"/>
            <w:vAlign w:val="center"/>
          </w:tcPr>
          <w:p>
            <w:pPr>
              <w:widowControl/>
              <w:jc w:val="center"/>
              <w:rPr>
                <w:szCs w:val="21"/>
              </w:rPr>
            </w:pPr>
            <w:r>
              <w:rPr>
                <w:rFonts w:hint="eastAsia"/>
                <w:szCs w:val="21"/>
              </w:rPr>
              <w:t>14.16</w:t>
            </w:r>
          </w:p>
        </w:tc>
        <w:tc>
          <w:tcPr>
            <w:tcW w:w="2727" w:type="dxa"/>
            <w:vAlign w:val="center"/>
          </w:tcPr>
          <w:p>
            <w:pPr>
              <w:widowControl/>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959" w:type="dxa"/>
            <w:vAlign w:val="center"/>
          </w:tcPr>
          <w:p>
            <w:pPr>
              <w:widowControl/>
              <w:jc w:val="center"/>
              <w:rPr>
                <w:szCs w:val="21"/>
              </w:rPr>
            </w:pPr>
            <w:r>
              <w:rPr>
                <w:rFonts w:hint="eastAsia"/>
                <w:szCs w:val="21"/>
              </w:rPr>
              <w:t>6</w:t>
            </w:r>
          </w:p>
        </w:tc>
        <w:tc>
          <w:tcPr>
            <w:tcW w:w="2977" w:type="dxa"/>
            <w:vAlign w:val="center"/>
          </w:tcPr>
          <w:p>
            <w:pPr>
              <w:widowControl/>
              <w:jc w:val="center"/>
              <w:rPr>
                <w:szCs w:val="21"/>
              </w:rPr>
            </w:pPr>
            <w:r>
              <w:rPr>
                <w:rFonts w:hint="eastAsia"/>
                <w:szCs w:val="21"/>
              </w:rPr>
              <w:t>嘉福工业园</w:t>
            </w:r>
          </w:p>
        </w:tc>
        <w:tc>
          <w:tcPr>
            <w:tcW w:w="2409" w:type="dxa"/>
            <w:vAlign w:val="center"/>
          </w:tcPr>
          <w:p>
            <w:pPr>
              <w:widowControl/>
              <w:jc w:val="center"/>
              <w:rPr>
                <w:szCs w:val="21"/>
              </w:rPr>
            </w:pPr>
            <w:r>
              <w:rPr>
                <w:rFonts w:hint="eastAsia"/>
                <w:szCs w:val="21"/>
              </w:rPr>
              <w:t>1.898</w:t>
            </w:r>
          </w:p>
        </w:tc>
        <w:tc>
          <w:tcPr>
            <w:tcW w:w="2727" w:type="dxa"/>
            <w:vAlign w:val="center"/>
          </w:tcPr>
          <w:p>
            <w:pPr>
              <w:widowControl/>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959" w:type="dxa"/>
            <w:vAlign w:val="center"/>
          </w:tcPr>
          <w:p>
            <w:pPr>
              <w:widowControl/>
              <w:jc w:val="center"/>
              <w:rPr>
                <w:szCs w:val="21"/>
              </w:rPr>
            </w:pPr>
            <w:r>
              <w:rPr>
                <w:rFonts w:hint="eastAsia"/>
                <w:szCs w:val="21"/>
              </w:rPr>
              <w:t>7</w:t>
            </w:r>
          </w:p>
        </w:tc>
        <w:tc>
          <w:tcPr>
            <w:tcW w:w="2977" w:type="dxa"/>
            <w:vAlign w:val="center"/>
          </w:tcPr>
          <w:p>
            <w:pPr>
              <w:widowControl/>
              <w:jc w:val="center"/>
              <w:rPr>
                <w:szCs w:val="21"/>
              </w:rPr>
            </w:pPr>
            <w:r>
              <w:rPr>
                <w:rFonts w:hint="eastAsia"/>
                <w:szCs w:val="21"/>
              </w:rPr>
              <w:t>泰基工业园</w:t>
            </w:r>
          </w:p>
        </w:tc>
        <w:tc>
          <w:tcPr>
            <w:tcW w:w="2409" w:type="dxa"/>
            <w:vAlign w:val="center"/>
          </w:tcPr>
          <w:p>
            <w:pPr>
              <w:widowControl/>
              <w:jc w:val="center"/>
              <w:rPr>
                <w:szCs w:val="21"/>
              </w:rPr>
            </w:pPr>
            <w:r>
              <w:rPr>
                <w:rFonts w:hint="eastAsia"/>
                <w:szCs w:val="21"/>
              </w:rPr>
              <w:t>1.227</w:t>
            </w:r>
          </w:p>
        </w:tc>
        <w:tc>
          <w:tcPr>
            <w:tcW w:w="2727" w:type="dxa"/>
            <w:vAlign w:val="center"/>
          </w:tcPr>
          <w:p>
            <w:pPr>
              <w:widowControl/>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959" w:type="dxa"/>
            <w:vAlign w:val="center"/>
          </w:tcPr>
          <w:p>
            <w:pPr>
              <w:widowControl/>
              <w:jc w:val="center"/>
              <w:rPr>
                <w:szCs w:val="21"/>
              </w:rPr>
            </w:pPr>
            <w:r>
              <w:rPr>
                <w:rFonts w:hint="eastAsia"/>
                <w:szCs w:val="21"/>
              </w:rPr>
              <w:t>8</w:t>
            </w:r>
          </w:p>
        </w:tc>
        <w:tc>
          <w:tcPr>
            <w:tcW w:w="2977" w:type="dxa"/>
            <w:vAlign w:val="center"/>
          </w:tcPr>
          <w:p>
            <w:pPr>
              <w:widowControl/>
              <w:jc w:val="center"/>
              <w:rPr>
                <w:szCs w:val="21"/>
              </w:rPr>
            </w:pPr>
            <w:r>
              <w:rPr>
                <w:rFonts w:hint="eastAsia"/>
                <w:szCs w:val="21"/>
              </w:rPr>
              <w:t>电子信息产业园</w:t>
            </w:r>
          </w:p>
        </w:tc>
        <w:tc>
          <w:tcPr>
            <w:tcW w:w="2409" w:type="dxa"/>
            <w:vAlign w:val="center"/>
          </w:tcPr>
          <w:p>
            <w:pPr>
              <w:widowControl/>
              <w:jc w:val="center"/>
              <w:rPr>
                <w:szCs w:val="21"/>
              </w:rPr>
            </w:pPr>
            <w:r>
              <w:rPr>
                <w:rFonts w:hint="eastAsia"/>
                <w:szCs w:val="21"/>
              </w:rPr>
              <w:t>1.882</w:t>
            </w:r>
          </w:p>
        </w:tc>
        <w:tc>
          <w:tcPr>
            <w:tcW w:w="2727" w:type="dxa"/>
            <w:vAlign w:val="center"/>
          </w:tcPr>
          <w:p>
            <w:pPr>
              <w:widowControl/>
              <w:spacing w:line="260" w:lineRule="exact"/>
              <w:jc w:val="center"/>
              <w:rPr>
                <w:szCs w:val="21"/>
              </w:rPr>
            </w:pPr>
          </w:p>
        </w:tc>
      </w:tr>
    </w:tbl>
    <w:p>
      <w:pPr>
        <w:widowControl/>
        <w:spacing w:after="120" w:line="500" w:lineRule="exact"/>
        <w:ind w:firstLine="560" w:firstLineChars="200"/>
        <w:rPr>
          <w:sz w:val="28"/>
          <w:szCs w:val="21"/>
        </w:rPr>
      </w:pPr>
    </w:p>
    <w:p>
      <w:pPr>
        <w:keepNext/>
        <w:keepLines/>
        <w:widowControl/>
        <w:spacing w:before="260" w:after="260" w:line="415" w:lineRule="auto"/>
        <w:outlineLvl w:val="1"/>
        <w:rPr>
          <w:rFonts w:eastAsia="黑体"/>
          <w:bCs/>
          <w:sz w:val="32"/>
          <w:szCs w:val="32"/>
        </w:rPr>
      </w:pPr>
      <w:bookmarkStart w:id="11" w:name="_Toc48053746"/>
      <w:r>
        <w:rPr>
          <w:rFonts w:hint="eastAsia" w:eastAsia="黑体"/>
          <w:bCs/>
          <w:sz w:val="32"/>
          <w:szCs w:val="32"/>
        </w:rPr>
        <w:t>1.5 项目规模</w:t>
      </w:r>
      <w:bookmarkEnd w:id="11"/>
    </w:p>
    <w:p>
      <w:pPr>
        <w:widowControl/>
        <w:spacing w:after="120" w:line="500" w:lineRule="exact"/>
        <w:ind w:firstLine="560" w:firstLineChars="200"/>
        <w:rPr>
          <w:sz w:val="28"/>
          <w:szCs w:val="21"/>
        </w:rPr>
      </w:pPr>
      <w:r>
        <w:rPr>
          <w:rFonts w:hint="eastAsia"/>
          <w:sz w:val="28"/>
          <w:szCs w:val="21"/>
        </w:rPr>
        <w:t>广东清远高新技术产业开发区，总用地面积238.02km²。本次清远高新区区域评估范围为开发区内新建和尚未建成的八个工业园区（见表1.1-1），共计约82.477 km</w:t>
      </w:r>
      <w:r>
        <w:rPr>
          <w:rFonts w:hint="eastAsia"/>
          <w:sz w:val="28"/>
          <w:szCs w:val="21"/>
          <w:vertAlign w:val="superscript"/>
        </w:rPr>
        <w:t>2</w:t>
      </w:r>
      <w:r>
        <w:rPr>
          <w:rFonts w:hint="eastAsia"/>
          <w:sz w:val="28"/>
          <w:szCs w:val="21"/>
        </w:rPr>
        <w:t>。</w:t>
      </w:r>
    </w:p>
    <w:p>
      <w:pPr>
        <w:widowControl/>
        <w:spacing w:after="120" w:line="500" w:lineRule="exact"/>
        <w:ind w:firstLine="560" w:firstLineChars="200"/>
        <w:rPr>
          <w:sz w:val="28"/>
          <w:szCs w:val="21"/>
        </w:rPr>
      </w:pPr>
      <w:r>
        <w:rPr>
          <w:rFonts w:hint="eastAsia"/>
          <w:sz w:val="28"/>
          <w:szCs w:val="21"/>
        </w:rPr>
        <w:t>高新区以高技术服务和休闲度假为核心、高科技制造为基础、城市生活配套为支撑，功能复合、高效统一的科技新城。新常态下高新区发展试验区、环珠三角生态科技新区、华南地区休闲度假基地、广州北生态宜居产业新城。重点发展新材料、汽车及零部件、新一代信息技术、生物医药、现代服务业5大主导及先导产业；优化提升现状金属制品和循环再生2大产业；补充发展传统制造业。</w:t>
      </w:r>
    </w:p>
    <w:p>
      <w:pPr>
        <w:keepNext/>
        <w:keepLines/>
        <w:widowControl/>
        <w:spacing w:before="260" w:after="260" w:line="415" w:lineRule="auto"/>
        <w:outlineLvl w:val="1"/>
        <w:rPr>
          <w:rFonts w:eastAsia="黑体"/>
          <w:bCs/>
          <w:sz w:val="32"/>
          <w:szCs w:val="32"/>
        </w:rPr>
      </w:pPr>
      <w:bookmarkStart w:id="12" w:name="_Toc48053747"/>
      <w:bookmarkStart w:id="13" w:name="_Toc375525360"/>
      <w:bookmarkStart w:id="14" w:name="_Toc370928735"/>
      <w:r>
        <w:rPr>
          <w:rFonts w:hint="eastAsia" w:eastAsia="黑体"/>
          <w:bCs/>
          <w:sz w:val="32"/>
          <w:szCs w:val="32"/>
        </w:rPr>
        <w:t>1.6</w:t>
      </w:r>
      <w:r>
        <w:rPr>
          <w:rFonts w:eastAsia="黑体"/>
          <w:bCs/>
          <w:sz w:val="32"/>
          <w:szCs w:val="32"/>
        </w:rPr>
        <w:t xml:space="preserve"> </w:t>
      </w:r>
      <w:r>
        <w:rPr>
          <w:rFonts w:hint="eastAsia" w:eastAsia="黑体"/>
          <w:bCs/>
          <w:sz w:val="32"/>
          <w:szCs w:val="32"/>
        </w:rPr>
        <w:t>评估</w:t>
      </w:r>
      <w:r>
        <w:rPr>
          <w:rFonts w:eastAsia="黑体"/>
          <w:bCs/>
          <w:sz w:val="32"/>
          <w:szCs w:val="32"/>
        </w:rPr>
        <w:t>目的</w:t>
      </w:r>
      <w:bookmarkEnd w:id="12"/>
      <w:bookmarkEnd w:id="13"/>
      <w:bookmarkEnd w:id="14"/>
    </w:p>
    <w:p>
      <w:pPr>
        <w:widowControl/>
        <w:spacing w:after="120" w:line="500" w:lineRule="exact"/>
        <w:ind w:firstLine="560" w:firstLineChars="200"/>
        <w:rPr>
          <w:sz w:val="28"/>
          <w:szCs w:val="21"/>
        </w:rPr>
      </w:pPr>
      <w:r>
        <w:rPr>
          <w:rFonts w:hint="eastAsia"/>
          <w:sz w:val="28"/>
          <w:szCs w:val="21"/>
        </w:rPr>
        <w:t>清远高新区位于清远市区以南、广清结合处，规划面积约</w:t>
      </w:r>
      <w:r>
        <w:rPr>
          <w:sz w:val="28"/>
          <w:szCs w:val="21"/>
        </w:rPr>
        <w:t>82.477</w:t>
      </w:r>
      <w:r>
        <w:rPr>
          <w:rFonts w:hint="eastAsia"/>
          <w:sz w:val="28"/>
          <w:szCs w:val="21"/>
        </w:rPr>
        <w:t xml:space="preserve"> km²，是清远市发展的重点区域，经济体量大。雷电灾害可能会对清远高新区造成严重影响。区域内基础设施及重点工程设计需考虑工程区域的雷电灾害风险，以保证清远高新区安全和适宜的经济指标。</w:t>
      </w:r>
    </w:p>
    <w:p>
      <w:pPr>
        <w:widowControl/>
        <w:spacing w:after="120" w:line="500" w:lineRule="exact"/>
        <w:ind w:firstLine="560" w:firstLineChars="200"/>
        <w:rPr>
          <w:sz w:val="28"/>
          <w:szCs w:val="21"/>
        </w:rPr>
      </w:pPr>
      <w:r>
        <w:rPr>
          <w:rFonts w:hint="eastAsia"/>
          <w:sz w:val="28"/>
          <w:szCs w:val="21"/>
        </w:rPr>
        <w:t>根据相关标准、规范，统计分析清远高新区雷电防护的关键设计参数。分析雷电灾害出现概率，并提出相关建议，为基础设施和工程可行性研究设计提供参考。结合区域规划和项目分布，对该区域雷电灾害进行风险分析和评估，为该区域的规划设计和区域内项目的建设运行提供防灾减灾依据。</w:t>
      </w:r>
    </w:p>
    <w:p>
      <w:pPr>
        <w:keepNext/>
        <w:keepLines/>
        <w:widowControl/>
        <w:spacing w:before="260" w:after="260" w:line="415" w:lineRule="auto"/>
        <w:outlineLvl w:val="1"/>
        <w:rPr>
          <w:rFonts w:eastAsia="黑体"/>
          <w:bCs/>
          <w:sz w:val="32"/>
          <w:szCs w:val="32"/>
        </w:rPr>
      </w:pPr>
      <w:bookmarkStart w:id="15" w:name="_Toc48053748"/>
      <w:r>
        <w:rPr>
          <w:rFonts w:hint="eastAsia" w:eastAsia="黑体"/>
          <w:bCs/>
          <w:sz w:val="32"/>
          <w:szCs w:val="32"/>
        </w:rPr>
        <w:t>1.7 评估原则</w:t>
      </w:r>
      <w:bookmarkEnd w:id="15"/>
    </w:p>
    <w:p>
      <w:pPr>
        <w:widowControl/>
        <w:spacing w:line="500" w:lineRule="exact"/>
        <w:ind w:firstLine="560" w:firstLineChars="200"/>
        <w:rPr>
          <w:sz w:val="28"/>
          <w:szCs w:val="21"/>
        </w:rPr>
      </w:pPr>
      <w:r>
        <w:rPr>
          <w:rFonts w:hint="eastAsia"/>
          <w:sz w:val="28"/>
          <w:szCs w:val="21"/>
        </w:rPr>
        <w:t>根据本项目实际情况，坚持政策性、针对性、科学性和实用性相结合的原则。</w:t>
      </w:r>
    </w:p>
    <w:p>
      <w:pPr>
        <w:keepNext/>
        <w:keepLines/>
        <w:widowControl/>
        <w:spacing w:before="260" w:after="260" w:line="415" w:lineRule="auto"/>
        <w:outlineLvl w:val="1"/>
        <w:rPr>
          <w:rFonts w:eastAsia="黑体"/>
          <w:bCs/>
          <w:sz w:val="32"/>
          <w:szCs w:val="32"/>
        </w:rPr>
      </w:pPr>
      <w:bookmarkStart w:id="16" w:name="_Toc48053749"/>
      <w:r>
        <w:rPr>
          <w:rFonts w:hint="eastAsia" w:eastAsia="黑体"/>
          <w:bCs/>
          <w:sz w:val="32"/>
          <w:szCs w:val="32"/>
        </w:rPr>
        <w:t>1.8 评估依据和参考资料</w:t>
      </w:r>
      <w:bookmarkEnd w:id="16"/>
    </w:p>
    <w:p>
      <w:pPr>
        <w:keepNext/>
        <w:keepLines/>
        <w:spacing w:before="156" w:beforeLines="50" w:after="156" w:afterLines="50" w:line="500" w:lineRule="exact"/>
        <w:outlineLvl w:val="2"/>
        <w:rPr>
          <w:rFonts w:eastAsia="黑体"/>
          <w:bCs/>
          <w:sz w:val="28"/>
          <w:szCs w:val="28"/>
        </w:rPr>
      </w:pPr>
      <w:bookmarkStart w:id="17" w:name="_Toc48053750"/>
      <w:r>
        <w:rPr>
          <w:rFonts w:hint="eastAsia" w:eastAsia="黑体"/>
          <w:bCs/>
          <w:sz w:val="28"/>
          <w:szCs w:val="28"/>
        </w:rPr>
        <w:t>1.8.1 法律法规、部门规章、规划</w:t>
      </w:r>
      <w:bookmarkEnd w:id="17"/>
    </w:p>
    <w:p>
      <w:pPr>
        <w:widowControl/>
        <w:spacing w:after="120" w:line="500" w:lineRule="exact"/>
        <w:ind w:firstLine="560" w:firstLineChars="200"/>
        <w:rPr>
          <w:sz w:val="28"/>
          <w:szCs w:val="21"/>
        </w:rPr>
      </w:pPr>
      <w:r>
        <w:rPr>
          <w:rFonts w:hint="eastAsia"/>
          <w:sz w:val="28"/>
          <w:szCs w:val="21"/>
        </w:rPr>
        <w:t>（1）《中华人民共和国气象法》</w:t>
      </w:r>
    </w:p>
    <w:p>
      <w:pPr>
        <w:widowControl/>
        <w:spacing w:after="120" w:line="500" w:lineRule="exact"/>
        <w:ind w:firstLine="560" w:firstLineChars="200"/>
        <w:rPr>
          <w:sz w:val="28"/>
          <w:szCs w:val="21"/>
        </w:rPr>
      </w:pPr>
      <w:r>
        <w:rPr>
          <w:rFonts w:hint="eastAsia"/>
          <w:sz w:val="28"/>
          <w:szCs w:val="21"/>
        </w:rPr>
        <w:t>（2）《气象灾害防御条例》（国务院令第 570 号）</w:t>
      </w:r>
    </w:p>
    <w:p>
      <w:pPr>
        <w:widowControl/>
        <w:spacing w:after="120" w:line="500" w:lineRule="exact"/>
        <w:ind w:firstLine="560" w:firstLineChars="200"/>
        <w:rPr>
          <w:sz w:val="28"/>
          <w:szCs w:val="21"/>
        </w:rPr>
      </w:pPr>
      <w:r>
        <w:rPr>
          <w:rFonts w:hint="eastAsia"/>
          <w:sz w:val="28"/>
          <w:szCs w:val="21"/>
        </w:rPr>
        <w:t>（3）《国务院办公厅关于全面开展工程建设项目审批制度改革的实施意见》（国办发〔2019〕11号）</w:t>
      </w:r>
    </w:p>
    <w:p>
      <w:pPr>
        <w:widowControl/>
        <w:spacing w:after="120" w:line="500" w:lineRule="exact"/>
        <w:ind w:firstLine="560" w:firstLineChars="200"/>
        <w:rPr>
          <w:sz w:val="28"/>
          <w:szCs w:val="21"/>
        </w:rPr>
      </w:pPr>
      <w:r>
        <w:rPr>
          <w:rFonts w:hint="eastAsia"/>
          <w:sz w:val="28"/>
          <w:szCs w:val="21"/>
        </w:rPr>
        <w:t>（4）《中国气象局关于修改&lt;防雷减灾管理办法&gt;的决定》（中国气象局令第 24 号）</w:t>
      </w:r>
    </w:p>
    <w:p>
      <w:pPr>
        <w:widowControl/>
        <w:spacing w:after="120" w:line="500" w:lineRule="exact"/>
        <w:ind w:firstLine="560" w:firstLineChars="200"/>
        <w:rPr>
          <w:sz w:val="28"/>
          <w:szCs w:val="21"/>
        </w:rPr>
      </w:pPr>
      <w:r>
        <w:rPr>
          <w:rFonts w:hint="eastAsia"/>
          <w:sz w:val="28"/>
          <w:szCs w:val="21"/>
        </w:rPr>
        <w:t>（5）《气象信息服务管理办法》（中国气象局令第 27 号）</w:t>
      </w:r>
    </w:p>
    <w:p>
      <w:pPr>
        <w:widowControl/>
        <w:spacing w:after="120" w:line="500" w:lineRule="exact"/>
        <w:ind w:firstLine="560" w:firstLineChars="200"/>
        <w:rPr>
          <w:sz w:val="28"/>
          <w:szCs w:val="21"/>
        </w:rPr>
      </w:pPr>
      <w:r>
        <w:rPr>
          <w:rFonts w:hint="eastAsia"/>
          <w:sz w:val="28"/>
          <w:szCs w:val="21"/>
        </w:rPr>
        <w:t>（6）《广东省气象灾害防御条例》</w:t>
      </w:r>
    </w:p>
    <w:p>
      <w:pPr>
        <w:widowControl/>
        <w:spacing w:after="120" w:line="500" w:lineRule="exact"/>
        <w:ind w:firstLine="560" w:firstLineChars="200"/>
        <w:rPr>
          <w:sz w:val="28"/>
          <w:szCs w:val="21"/>
        </w:rPr>
      </w:pPr>
      <w:r>
        <w:rPr>
          <w:rFonts w:hint="eastAsia"/>
          <w:sz w:val="28"/>
          <w:szCs w:val="21"/>
        </w:rPr>
        <w:t>（7）《广东省气象灾害防御重点单位气象安全管理办法》（粤府令第254号）</w:t>
      </w:r>
    </w:p>
    <w:p>
      <w:pPr>
        <w:widowControl/>
        <w:spacing w:after="120" w:line="500" w:lineRule="exact"/>
        <w:ind w:firstLine="560" w:firstLineChars="200"/>
        <w:rPr>
          <w:sz w:val="28"/>
          <w:szCs w:val="21"/>
        </w:rPr>
      </w:pPr>
      <w:r>
        <w:rPr>
          <w:rFonts w:hint="eastAsia"/>
          <w:sz w:val="28"/>
          <w:szCs w:val="21"/>
        </w:rPr>
        <w:t>（8）《广东省人民政府关于印发广东省全面开展工程建设项目审批制度改革实施方案的通知》（粤府〔2019〕49号）</w:t>
      </w:r>
    </w:p>
    <w:p>
      <w:pPr>
        <w:widowControl/>
        <w:spacing w:after="120" w:line="500" w:lineRule="exact"/>
        <w:ind w:firstLine="560" w:firstLineChars="200"/>
        <w:rPr>
          <w:sz w:val="28"/>
          <w:szCs w:val="21"/>
        </w:rPr>
      </w:pPr>
      <w:r>
        <w:rPr>
          <w:rFonts w:hint="eastAsia"/>
          <w:sz w:val="28"/>
          <w:szCs w:val="21"/>
        </w:rPr>
        <w:t>（9）《关于印发&lt;广东省工程建设项目区域评估工作指引&gt;的函》（粤自然资函〔2019〕1931号）</w:t>
      </w:r>
    </w:p>
    <w:p>
      <w:pPr>
        <w:widowControl/>
        <w:spacing w:after="120" w:line="500" w:lineRule="exact"/>
        <w:ind w:firstLine="560" w:firstLineChars="200"/>
        <w:rPr>
          <w:sz w:val="28"/>
          <w:szCs w:val="21"/>
        </w:rPr>
      </w:pPr>
      <w:r>
        <w:rPr>
          <w:rFonts w:hint="eastAsia"/>
          <w:sz w:val="28"/>
          <w:szCs w:val="21"/>
        </w:rPr>
        <w:t>（10）《关于印发&lt;广东省工程建设项目区域评估操作规程&gt;的函》（粤自然资函〔2019〕2284号）</w:t>
      </w:r>
    </w:p>
    <w:p>
      <w:pPr>
        <w:keepNext/>
        <w:keepLines/>
        <w:spacing w:before="156" w:beforeLines="50" w:after="156" w:afterLines="50" w:line="500" w:lineRule="exact"/>
        <w:outlineLvl w:val="2"/>
        <w:rPr>
          <w:rFonts w:eastAsia="黑体"/>
          <w:bCs/>
          <w:sz w:val="28"/>
          <w:szCs w:val="28"/>
        </w:rPr>
      </w:pPr>
      <w:bookmarkStart w:id="18" w:name="_Toc48053751"/>
      <w:r>
        <w:rPr>
          <w:rFonts w:hint="eastAsia" w:eastAsia="黑体"/>
          <w:bCs/>
          <w:sz w:val="28"/>
          <w:szCs w:val="28"/>
        </w:rPr>
        <w:t>1.8.2 标准、规程、技术规范</w:t>
      </w:r>
      <w:bookmarkEnd w:id="18"/>
    </w:p>
    <w:p>
      <w:pPr>
        <w:widowControl/>
        <w:spacing w:after="120" w:line="500" w:lineRule="exact"/>
        <w:ind w:firstLine="560" w:firstLineChars="200"/>
        <w:rPr>
          <w:sz w:val="28"/>
          <w:szCs w:val="21"/>
        </w:rPr>
      </w:pPr>
      <w:r>
        <w:rPr>
          <w:rFonts w:hint="eastAsia"/>
          <w:sz w:val="28"/>
          <w:szCs w:val="21"/>
        </w:rPr>
        <w:t>（1）《雷电防护第1部分：总则》（GB/T 21714.1-2015）</w:t>
      </w:r>
    </w:p>
    <w:p>
      <w:pPr>
        <w:widowControl/>
        <w:spacing w:after="120" w:line="500" w:lineRule="exact"/>
        <w:ind w:firstLine="560" w:firstLineChars="200"/>
        <w:rPr>
          <w:sz w:val="28"/>
          <w:szCs w:val="21"/>
        </w:rPr>
      </w:pPr>
      <w:r>
        <w:rPr>
          <w:rFonts w:hint="eastAsia"/>
          <w:sz w:val="28"/>
          <w:szCs w:val="21"/>
        </w:rPr>
        <w:t>（2）《雷电防护第2部分：风险管理》（GB/T 21714.2-2015）</w:t>
      </w:r>
    </w:p>
    <w:p>
      <w:pPr>
        <w:widowControl/>
        <w:spacing w:after="120" w:line="500" w:lineRule="exact"/>
        <w:ind w:firstLine="560" w:firstLineChars="200"/>
        <w:rPr>
          <w:sz w:val="28"/>
          <w:szCs w:val="21"/>
        </w:rPr>
      </w:pPr>
      <w:r>
        <w:rPr>
          <w:rFonts w:hint="eastAsia"/>
          <w:sz w:val="28"/>
          <w:szCs w:val="21"/>
        </w:rPr>
        <w:t>（3）《雷电防护第3部分：建筑物的物理损坏和生命危险》（GB/T 21714.3-2015）</w:t>
      </w:r>
    </w:p>
    <w:p>
      <w:pPr>
        <w:widowControl/>
        <w:spacing w:after="120" w:line="500" w:lineRule="exact"/>
        <w:ind w:firstLine="560" w:firstLineChars="200"/>
        <w:rPr>
          <w:sz w:val="28"/>
          <w:szCs w:val="21"/>
        </w:rPr>
      </w:pPr>
      <w:r>
        <w:rPr>
          <w:rFonts w:hint="eastAsia"/>
          <w:sz w:val="28"/>
          <w:szCs w:val="21"/>
        </w:rPr>
        <w:t>（4）《雷电防护第4部分：建筑物内电气和电子系统》（GB/T 21714.4-2015）</w:t>
      </w:r>
    </w:p>
    <w:p>
      <w:pPr>
        <w:widowControl/>
        <w:spacing w:after="120" w:line="500" w:lineRule="exact"/>
        <w:ind w:firstLine="560" w:firstLineChars="200"/>
        <w:rPr>
          <w:sz w:val="28"/>
          <w:szCs w:val="21"/>
        </w:rPr>
      </w:pPr>
      <w:r>
        <w:rPr>
          <w:rFonts w:hint="eastAsia"/>
          <w:sz w:val="28"/>
          <w:szCs w:val="21"/>
        </w:rPr>
        <w:t>（5）《风险管理-风险评估技术》（GB/T 27921-2011）</w:t>
      </w:r>
    </w:p>
    <w:p>
      <w:pPr>
        <w:widowControl/>
        <w:spacing w:after="120" w:line="500" w:lineRule="exact"/>
        <w:ind w:firstLine="560" w:firstLineChars="200"/>
        <w:rPr>
          <w:sz w:val="28"/>
          <w:szCs w:val="21"/>
        </w:rPr>
      </w:pPr>
      <w:r>
        <w:rPr>
          <w:rFonts w:hint="eastAsia"/>
          <w:sz w:val="28"/>
          <w:szCs w:val="21"/>
        </w:rPr>
        <w:t>（6）《风险管理原则与实施指南》（GB/T 24353-2009）</w:t>
      </w:r>
    </w:p>
    <w:p>
      <w:pPr>
        <w:widowControl/>
        <w:spacing w:after="120" w:line="500" w:lineRule="exact"/>
        <w:ind w:firstLine="560" w:firstLineChars="200"/>
        <w:rPr>
          <w:sz w:val="28"/>
          <w:szCs w:val="21"/>
        </w:rPr>
      </w:pPr>
      <w:r>
        <w:rPr>
          <w:rFonts w:hint="eastAsia"/>
          <w:sz w:val="28"/>
          <w:szCs w:val="21"/>
        </w:rPr>
        <w:t>（7）《建筑物防雷设计规范》（GB 50057-2010）</w:t>
      </w:r>
    </w:p>
    <w:p>
      <w:pPr>
        <w:widowControl/>
        <w:spacing w:after="120" w:line="500" w:lineRule="exact"/>
        <w:ind w:firstLine="560" w:firstLineChars="200"/>
        <w:rPr>
          <w:sz w:val="28"/>
          <w:szCs w:val="21"/>
        </w:rPr>
      </w:pPr>
      <w:r>
        <w:rPr>
          <w:rFonts w:hint="eastAsia"/>
          <w:sz w:val="28"/>
          <w:szCs w:val="21"/>
        </w:rPr>
        <w:t>（8）《建筑物电子信息系统防雷技术规范》（GB 50343-2012）</w:t>
      </w:r>
    </w:p>
    <w:p>
      <w:pPr>
        <w:widowControl/>
        <w:spacing w:after="120" w:line="500" w:lineRule="exact"/>
        <w:ind w:firstLine="560" w:firstLineChars="200"/>
        <w:rPr>
          <w:sz w:val="28"/>
          <w:szCs w:val="21"/>
        </w:rPr>
      </w:pPr>
      <w:r>
        <w:rPr>
          <w:rFonts w:hint="eastAsia"/>
          <w:sz w:val="28"/>
          <w:szCs w:val="21"/>
        </w:rPr>
        <w:t>（9）《接地系统的土壤电阻率、接地阻抗和地面电位测量导则第1部分：常规测量》（GB/T 17949.1-2000）</w:t>
      </w:r>
    </w:p>
    <w:p>
      <w:pPr>
        <w:widowControl/>
        <w:spacing w:after="120" w:line="500" w:lineRule="exact"/>
        <w:ind w:firstLine="560" w:firstLineChars="200"/>
        <w:rPr>
          <w:sz w:val="28"/>
          <w:szCs w:val="21"/>
        </w:rPr>
      </w:pPr>
      <w:r>
        <w:rPr>
          <w:rFonts w:hint="eastAsia"/>
          <w:sz w:val="28"/>
          <w:szCs w:val="21"/>
        </w:rPr>
        <w:t>（10）《气象灾害防御重点单位气象安全保障规范》（GB/T 36742-2018）</w:t>
      </w:r>
    </w:p>
    <w:p>
      <w:pPr>
        <w:widowControl/>
        <w:spacing w:after="120" w:line="500" w:lineRule="exact"/>
        <w:ind w:firstLine="560" w:firstLineChars="200"/>
        <w:rPr>
          <w:sz w:val="28"/>
          <w:szCs w:val="21"/>
        </w:rPr>
      </w:pPr>
      <w:r>
        <w:rPr>
          <w:rFonts w:hint="eastAsia"/>
          <w:sz w:val="28"/>
          <w:szCs w:val="21"/>
        </w:rPr>
        <w:t>（11）《雷电灾害风险评估技术规范》（QX/T 85-2018）</w:t>
      </w:r>
    </w:p>
    <w:p>
      <w:pPr>
        <w:widowControl/>
        <w:spacing w:after="120" w:line="500" w:lineRule="exact"/>
        <w:ind w:firstLine="560" w:firstLineChars="200"/>
        <w:rPr>
          <w:sz w:val="28"/>
          <w:szCs w:val="21"/>
        </w:rPr>
      </w:pPr>
      <w:r>
        <w:rPr>
          <w:rFonts w:hint="eastAsia"/>
          <w:sz w:val="28"/>
          <w:szCs w:val="21"/>
        </w:rPr>
        <w:t>（12）《雷电灾害风险区划技术指南》（QX/T405-2017）</w:t>
      </w:r>
    </w:p>
    <w:p>
      <w:pPr>
        <w:widowControl/>
        <w:spacing w:after="120" w:line="500" w:lineRule="exact"/>
        <w:ind w:firstLine="560" w:firstLineChars="200"/>
        <w:rPr>
          <w:sz w:val="28"/>
          <w:szCs w:val="21"/>
        </w:rPr>
      </w:pPr>
      <w:r>
        <w:rPr>
          <w:rFonts w:hint="eastAsia"/>
          <w:sz w:val="28"/>
          <w:szCs w:val="21"/>
        </w:rPr>
        <w:t>（13）《雷电灾害应急处置规范》（QX/T 245-2014）</w:t>
      </w:r>
    </w:p>
    <w:p>
      <w:pPr>
        <w:widowControl/>
        <w:spacing w:after="100" w:line="500" w:lineRule="exact"/>
        <w:ind w:firstLine="560" w:firstLineChars="200"/>
        <w:rPr>
          <w:sz w:val="28"/>
          <w:szCs w:val="21"/>
        </w:rPr>
      </w:pPr>
      <w:r>
        <w:rPr>
          <w:rFonts w:hint="eastAsia"/>
          <w:sz w:val="28"/>
          <w:szCs w:val="21"/>
        </w:rPr>
        <w:t>（14）《建筑施工现场雷电安全技术规范》（QX/T 246-2014）</w:t>
      </w:r>
    </w:p>
    <w:p>
      <w:pPr>
        <w:widowControl/>
        <w:spacing w:after="120" w:line="500" w:lineRule="exact"/>
        <w:ind w:firstLine="560" w:firstLineChars="200"/>
        <w:rPr>
          <w:sz w:val="28"/>
          <w:szCs w:val="21"/>
        </w:rPr>
      </w:pPr>
      <w:r>
        <w:rPr>
          <w:rFonts w:hint="eastAsia"/>
          <w:sz w:val="28"/>
          <w:szCs w:val="21"/>
        </w:rPr>
        <w:t>（15）《气象灾害防御 第1部分：风险区划》（DB44/T 2139.1-2018）</w:t>
      </w:r>
    </w:p>
    <w:p>
      <w:pPr>
        <w:widowControl/>
        <w:spacing w:after="120" w:line="500" w:lineRule="exact"/>
        <w:ind w:firstLine="560" w:firstLineChars="200"/>
        <w:rPr>
          <w:sz w:val="28"/>
          <w:szCs w:val="21"/>
        </w:rPr>
      </w:pPr>
      <w:r>
        <w:rPr>
          <w:rFonts w:hint="eastAsia"/>
          <w:sz w:val="28"/>
          <w:szCs w:val="21"/>
        </w:rPr>
        <w:t>（16）《气象灾害防御 第2部分：重点单位管理》DB44/T 2139.2-2018）</w:t>
      </w:r>
    </w:p>
    <w:p>
      <w:pPr>
        <w:keepNext/>
        <w:keepLines/>
        <w:spacing w:before="156" w:beforeLines="50" w:after="156" w:afterLines="50" w:line="500" w:lineRule="exact"/>
        <w:outlineLvl w:val="2"/>
        <w:rPr>
          <w:rFonts w:eastAsia="黑体"/>
          <w:bCs/>
          <w:sz w:val="28"/>
          <w:szCs w:val="28"/>
        </w:rPr>
      </w:pPr>
      <w:bookmarkStart w:id="19" w:name="_Toc48053752"/>
      <w:r>
        <w:rPr>
          <w:rFonts w:hint="eastAsia" w:eastAsia="黑体"/>
          <w:bCs/>
          <w:sz w:val="28"/>
          <w:szCs w:val="28"/>
        </w:rPr>
        <w:t>1.8.3 技术资料</w:t>
      </w:r>
      <w:bookmarkEnd w:id="19"/>
    </w:p>
    <w:p>
      <w:pPr>
        <w:widowControl/>
        <w:spacing w:after="120" w:line="500" w:lineRule="exact"/>
        <w:ind w:firstLine="560" w:firstLineChars="200"/>
        <w:rPr>
          <w:sz w:val="28"/>
          <w:szCs w:val="21"/>
        </w:rPr>
      </w:pPr>
      <w:r>
        <w:rPr>
          <w:rFonts w:hint="eastAsia"/>
          <w:sz w:val="28"/>
          <w:szCs w:val="21"/>
        </w:rPr>
        <w:t>（1）2010-2019年《广东省雷电灾害典型实例汇编》，广东省防雷减灾管理办公室</w:t>
      </w:r>
    </w:p>
    <w:p>
      <w:pPr>
        <w:keepNext/>
        <w:keepLines/>
        <w:spacing w:before="156" w:beforeLines="50" w:after="156" w:afterLines="50" w:line="500" w:lineRule="exact"/>
        <w:outlineLvl w:val="2"/>
        <w:rPr>
          <w:rFonts w:eastAsia="黑体"/>
          <w:bCs/>
          <w:sz w:val="28"/>
          <w:szCs w:val="28"/>
        </w:rPr>
      </w:pPr>
      <w:bookmarkStart w:id="20" w:name="_Toc48053753"/>
      <w:r>
        <w:rPr>
          <w:rFonts w:hint="eastAsia" w:eastAsia="黑体"/>
          <w:bCs/>
          <w:sz w:val="28"/>
          <w:szCs w:val="28"/>
        </w:rPr>
        <w:t>1.8.4 其他相关资料</w:t>
      </w:r>
      <w:bookmarkEnd w:id="20"/>
    </w:p>
    <w:p>
      <w:pPr>
        <w:widowControl/>
        <w:spacing w:after="120" w:line="500" w:lineRule="exact"/>
        <w:ind w:firstLine="560" w:firstLineChars="200"/>
        <w:rPr>
          <w:sz w:val="28"/>
          <w:szCs w:val="21"/>
        </w:rPr>
      </w:pPr>
      <w:r>
        <w:rPr>
          <w:rFonts w:hint="eastAsia"/>
          <w:sz w:val="28"/>
          <w:szCs w:val="21"/>
        </w:rPr>
        <w:t>（1）《广东清远高新技术产业开发区总体规划（2013-2030》</w:t>
      </w:r>
    </w:p>
    <w:p>
      <w:pPr>
        <w:widowControl/>
        <w:spacing w:after="120" w:line="500" w:lineRule="exact"/>
        <w:ind w:firstLine="560" w:firstLineChars="200"/>
        <w:rPr>
          <w:sz w:val="28"/>
          <w:szCs w:val="21"/>
        </w:rPr>
      </w:pPr>
      <w:r>
        <w:rPr>
          <w:rFonts w:hint="eastAsia"/>
          <w:sz w:val="28"/>
          <w:szCs w:val="21"/>
        </w:rPr>
        <w:t>（2）《清远市科技园（百嘉）控制性详细规划》</w:t>
      </w:r>
    </w:p>
    <w:p>
      <w:pPr>
        <w:widowControl/>
        <w:spacing w:after="120" w:line="500" w:lineRule="exact"/>
        <w:ind w:firstLine="560" w:firstLineChars="200"/>
        <w:rPr>
          <w:sz w:val="28"/>
          <w:szCs w:val="21"/>
        </w:rPr>
      </w:pPr>
      <w:r>
        <w:rPr>
          <w:rFonts w:hint="eastAsia"/>
          <w:sz w:val="28"/>
          <w:szCs w:val="21"/>
        </w:rPr>
        <w:t>（3）《清远市雄兴工业园及周边地区控制性详细规划》（征求意见稿）</w:t>
      </w:r>
    </w:p>
    <w:p>
      <w:pPr>
        <w:widowControl/>
        <w:spacing w:after="120" w:line="500" w:lineRule="exact"/>
        <w:ind w:firstLine="560" w:firstLineChars="200"/>
        <w:rPr>
          <w:sz w:val="28"/>
          <w:szCs w:val="21"/>
        </w:rPr>
      </w:pPr>
      <w:r>
        <w:rPr>
          <w:rFonts w:hint="eastAsia"/>
          <w:sz w:val="28"/>
          <w:szCs w:val="21"/>
        </w:rPr>
        <w:t>（4）《清远市莲湖产业园控制性详细规划》</w:t>
      </w:r>
    </w:p>
    <w:p>
      <w:pPr>
        <w:widowControl/>
        <w:spacing w:after="120" w:line="500" w:lineRule="exact"/>
        <w:ind w:firstLine="560" w:firstLineChars="200"/>
        <w:rPr>
          <w:sz w:val="28"/>
          <w:szCs w:val="21"/>
        </w:rPr>
      </w:pPr>
      <w:r>
        <w:rPr>
          <w:rFonts w:hint="eastAsia"/>
          <w:sz w:val="28"/>
          <w:szCs w:val="21"/>
        </w:rPr>
        <w:t>（5）《</w:t>
      </w:r>
      <w:r>
        <w:rPr>
          <w:sz w:val="28"/>
          <w:szCs w:val="21"/>
        </w:rPr>
        <w:t>清远市中心城区南部片区控制性详细规划整合——吊简单元</w:t>
      </w:r>
      <w:r>
        <w:rPr>
          <w:rFonts w:hint="eastAsia"/>
          <w:sz w:val="28"/>
          <w:szCs w:val="21"/>
        </w:rPr>
        <w:t>》</w:t>
      </w:r>
    </w:p>
    <w:p>
      <w:pPr>
        <w:widowControl/>
        <w:spacing w:after="120" w:line="500" w:lineRule="exact"/>
        <w:ind w:firstLine="560" w:firstLineChars="200"/>
        <w:rPr>
          <w:sz w:val="28"/>
          <w:szCs w:val="21"/>
        </w:rPr>
      </w:pPr>
      <w:r>
        <w:rPr>
          <w:rFonts w:hint="eastAsia"/>
          <w:sz w:val="28"/>
          <w:szCs w:val="21"/>
        </w:rPr>
        <w:t>（6）《清远市高新区银源工业小区控制性详细规划》</w:t>
      </w:r>
    </w:p>
    <w:p>
      <w:pPr>
        <w:widowControl/>
        <w:spacing w:after="120" w:line="500" w:lineRule="exact"/>
        <w:ind w:firstLine="560" w:firstLineChars="200"/>
        <w:rPr>
          <w:sz w:val="28"/>
          <w:szCs w:val="21"/>
        </w:rPr>
      </w:pPr>
      <w:r>
        <w:rPr>
          <w:rFonts w:hint="eastAsia"/>
          <w:sz w:val="28"/>
          <w:szCs w:val="21"/>
        </w:rPr>
        <w:t>（7）《清远市嘉福工业园二期用地控制性详细规划》</w:t>
      </w:r>
    </w:p>
    <w:p>
      <w:pPr>
        <w:widowControl/>
        <w:spacing w:after="120" w:line="500" w:lineRule="exact"/>
        <w:ind w:firstLine="560" w:firstLineChars="200"/>
        <w:rPr>
          <w:sz w:val="28"/>
          <w:szCs w:val="21"/>
        </w:rPr>
      </w:pPr>
      <w:r>
        <w:rPr>
          <w:rFonts w:hint="eastAsia"/>
          <w:sz w:val="28"/>
          <w:szCs w:val="21"/>
        </w:rPr>
        <w:t>（8）《泰基工业园</w:t>
      </w:r>
      <w:r>
        <w:rPr>
          <w:sz w:val="28"/>
          <w:szCs w:val="21"/>
        </w:rPr>
        <w:t>提升建议书</w:t>
      </w:r>
      <w:r>
        <w:rPr>
          <w:rFonts w:hint="eastAsia"/>
          <w:sz w:val="28"/>
          <w:szCs w:val="21"/>
        </w:rPr>
        <w:t>》</w:t>
      </w:r>
    </w:p>
    <w:p>
      <w:pPr>
        <w:widowControl/>
        <w:spacing w:after="120" w:line="500" w:lineRule="exact"/>
        <w:ind w:firstLine="560" w:firstLineChars="200"/>
        <w:rPr>
          <w:sz w:val="28"/>
          <w:szCs w:val="21"/>
        </w:rPr>
      </w:pPr>
      <w:r>
        <w:rPr>
          <w:rFonts w:hint="eastAsia"/>
          <w:sz w:val="28"/>
          <w:szCs w:val="21"/>
        </w:rPr>
        <w:t>（9）《清远市光电产业园控制性详细规划》</w:t>
      </w:r>
    </w:p>
    <w:p>
      <w:pPr>
        <w:spacing w:after="240" w:line="240" w:lineRule="atLeast"/>
        <w:jc w:val="left"/>
        <w:rPr>
          <w:rFonts w:ascii="宋体" w:hAnsi="宋体"/>
          <w:sz w:val="32"/>
          <w:szCs w:val="32"/>
        </w:rPr>
      </w:pPr>
    </w:p>
    <w:p>
      <w:pPr>
        <w:pStyle w:val="12"/>
        <w:spacing w:before="1092" w:beforeLines="350" w:after="1248" w:afterLines="400" w:line="960" w:lineRule="exact"/>
        <w:rPr>
          <w:b w:val="0"/>
          <w:color w:val="000000" w:themeColor="text1"/>
          <w14:textFill>
            <w14:solidFill>
              <w14:schemeClr w14:val="tx1"/>
            </w14:solidFill>
          </w14:textFill>
        </w:rPr>
      </w:pPr>
      <w:bookmarkStart w:id="21" w:name="_Toc530928500"/>
      <w:bookmarkStart w:id="22" w:name="_Toc48054151"/>
      <w:r>
        <w:rPr>
          <w:b w:val="0"/>
          <w:color w:val="000000" w:themeColor="text1"/>
          <w14:textFill>
            <w14:solidFill>
              <w14:schemeClr w14:val="tx1"/>
            </w14:solidFill>
          </w14:textFill>
        </w:rPr>
        <w:t>第</w:t>
      </w:r>
      <w:r>
        <w:rPr>
          <w:rFonts w:hint="eastAsia"/>
          <w:b w:val="0"/>
          <w:color w:val="000000" w:themeColor="text1"/>
          <w14:textFill>
            <w14:solidFill>
              <w14:schemeClr w14:val="tx1"/>
            </w14:solidFill>
          </w14:textFill>
        </w:rPr>
        <w:t>二</w:t>
      </w:r>
      <w:r>
        <w:rPr>
          <w:b w:val="0"/>
          <w:color w:val="000000" w:themeColor="text1"/>
          <w14:textFill>
            <w14:solidFill>
              <w14:schemeClr w14:val="tx1"/>
            </w14:solidFill>
          </w14:textFill>
        </w:rPr>
        <w:t xml:space="preserve">章  </w:t>
      </w:r>
      <w:r>
        <w:rPr>
          <w:rFonts w:hint="eastAsia"/>
          <w:b w:val="0"/>
          <w:color w:val="000000" w:themeColor="text1"/>
          <w14:textFill>
            <w14:solidFill>
              <w14:schemeClr w14:val="tx1"/>
            </w14:solidFill>
          </w14:textFill>
        </w:rPr>
        <w:t>项目概况</w:t>
      </w:r>
      <w:bookmarkEnd w:id="21"/>
      <w:bookmarkEnd w:id="22"/>
    </w:p>
    <w:p>
      <w:pPr>
        <w:pStyle w:val="11"/>
      </w:pPr>
      <w:bookmarkStart w:id="23" w:name="_Toc48054152"/>
      <w:r>
        <w:rPr>
          <w:rFonts w:hint="eastAsia"/>
        </w:rPr>
        <w:t>2.1 项目背景</w:t>
      </w:r>
      <w:bookmarkEnd w:id="23"/>
    </w:p>
    <w:p>
      <w:pPr>
        <w:ind w:firstLine="560"/>
        <w:rPr>
          <w:sz w:val="28"/>
          <w:szCs w:val="21"/>
        </w:rPr>
      </w:pPr>
      <w:r>
        <w:rPr>
          <w:rFonts w:hint="eastAsia"/>
          <w:sz w:val="28"/>
          <w:szCs w:val="21"/>
        </w:rPr>
        <w:t>为推进广清一体化进程，抓住长隆国际森林度假区及广清产业转移园入驻机遇，实现清远市“一区多园”的建设目标，清远高新区以高技术服务和休闲度假为核心、高科技制造为基础、城市生活配套为支撑，功能复合、高效统一的科技新城。新常态下高新区发展试验区、环珠三角生态科技新区、华南地区休闲度假基地、广州北生态宜居产业新城。</w:t>
      </w:r>
    </w:p>
    <w:p>
      <w:pPr>
        <w:ind w:firstLine="560"/>
        <w:rPr>
          <w:color w:val="000000" w:themeColor="text1"/>
          <w14:textFill>
            <w14:solidFill>
              <w14:schemeClr w14:val="tx1"/>
            </w14:solidFill>
          </w14:textFill>
        </w:rPr>
      </w:pPr>
      <w:r>
        <w:rPr>
          <w:rFonts w:hint="eastAsia"/>
          <w:sz w:val="28"/>
          <w:szCs w:val="21"/>
        </w:rPr>
        <w:t>清远高新区重点发展新材料、汽车及零部件、新一代信息技术、生物医药、现代服务业5 大主导及先导产业；优化提升现状金属制品和循环再生2大产业；补充发展传统制造业。</w:t>
      </w:r>
    </w:p>
    <w:p>
      <w:pPr>
        <w:pStyle w:val="11"/>
      </w:pPr>
      <w:bookmarkStart w:id="24" w:name="_Toc48054153"/>
      <w:r>
        <w:rPr>
          <w:rFonts w:hint="eastAsia"/>
        </w:rPr>
        <w:t>2.2 地理位置</w:t>
      </w:r>
      <w:bookmarkEnd w:id="24"/>
    </w:p>
    <w:p>
      <w:pPr>
        <w:ind w:firstLine="560"/>
        <w:rPr>
          <w:color w:val="000000" w:themeColor="text1"/>
          <w14:textFill>
            <w14:solidFill>
              <w14:schemeClr w14:val="tx1"/>
            </w14:solidFill>
          </w14:textFill>
        </w:rPr>
      </w:pPr>
      <w:r>
        <w:rPr>
          <w:rFonts w:hint="eastAsia"/>
          <w:sz w:val="28"/>
          <w:szCs w:val="21"/>
        </w:rPr>
        <w:t>总体规划范围分为三部分，其中北部片区东至广清大道、西至城西大道、南至大燕河，北至湖城大道；东部片区东南至清远行政边界，西至广清高速及京广铁路，北至在建佛清从高速；西部片区东至在建佛清从高速，北至塘基村，西北至现状德龙产业大道、规划华清产业大道，西南至环镇公路，总用地面积238.02km²。</w:t>
      </w:r>
    </w:p>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drawing>
          <wp:inline distT="0" distB="0" distL="0" distR="0">
            <wp:extent cx="5399405" cy="3649980"/>
            <wp:effectExtent l="19050" t="19050" r="10795" b="2667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400000" cy="3650400"/>
                    </a:xfrm>
                    <a:prstGeom prst="rect">
                      <a:avLst/>
                    </a:prstGeom>
                    <a:ln w="15875">
                      <a:solidFill>
                        <a:schemeClr val="tx1"/>
                      </a:solidFill>
                    </a:ln>
                  </pic:spPr>
                </pic:pic>
              </a:graphicData>
            </a:graphic>
          </wp:inline>
        </w:drawing>
      </w:r>
    </w:p>
    <w:p>
      <w:pPr>
        <w:pStyle w:val="13"/>
        <w:rPr>
          <w:color w:val="000000" w:themeColor="text1"/>
          <w:lang w:eastAsia="zh-CN"/>
          <w14:textFill>
            <w14:solidFill>
              <w14:schemeClr w14:val="tx1"/>
            </w14:solidFill>
          </w14:textFill>
        </w:rPr>
      </w:pPr>
      <w:r>
        <w:rPr>
          <w:lang w:eastAsia="zh-CN"/>
        </w:rPr>
        <w:t>图</w:t>
      </w:r>
      <w:r>
        <w:rPr>
          <w:rFonts w:hint="eastAsia"/>
          <w:lang w:eastAsia="zh-CN"/>
        </w:rPr>
        <w:t>2.2-1  清远高新区管辖范围</w:t>
      </w:r>
    </w:p>
    <w:p>
      <w:pPr>
        <w:ind w:firstLine="560"/>
      </w:pPr>
      <w:r>
        <w:rPr>
          <w:rFonts w:hint="eastAsia"/>
          <w:sz w:val="28"/>
          <w:szCs w:val="21"/>
        </w:rPr>
        <w:t>本次清远高新区区域评估范围为开发区内新建和尚未建成的八个工业园区，共计约82.477 km2，地理位置如下：</w:t>
      </w:r>
    </w:p>
    <w:p>
      <w:pPr>
        <w:pStyle w:val="14"/>
      </w:pPr>
      <w:r>
        <w:rPr>
          <w:rFonts w:hint="eastAsia"/>
        </w:rPr>
        <w:t>表2.2-1  清远高新区各园区地理位置</w:t>
      </w:r>
    </w:p>
    <w:tbl>
      <w:tblPr>
        <w:tblStyle w:val="6"/>
        <w:tblW w:w="907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75"/>
        <w:gridCol w:w="1560"/>
        <w:gridCol w:w="1000"/>
        <w:gridCol w:w="58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675" w:type="dxa"/>
            <w:vAlign w:val="center"/>
          </w:tcPr>
          <w:p>
            <w:pPr>
              <w:jc w:val="center"/>
              <w:rPr>
                <w:b/>
              </w:rPr>
            </w:pPr>
            <w:r>
              <w:rPr>
                <w:rFonts w:hint="eastAsia"/>
                <w:b/>
              </w:rPr>
              <w:t>序号</w:t>
            </w:r>
          </w:p>
        </w:tc>
        <w:tc>
          <w:tcPr>
            <w:tcW w:w="1560" w:type="dxa"/>
            <w:vAlign w:val="center"/>
          </w:tcPr>
          <w:p>
            <w:pPr>
              <w:jc w:val="center"/>
              <w:rPr>
                <w:b/>
              </w:rPr>
            </w:pPr>
            <w:r>
              <w:rPr>
                <w:rFonts w:hint="eastAsia"/>
                <w:b/>
              </w:rPr>
              <w:t>名称</w:t>
            </w:r>
          </w:p>
        </w:tc>
        <w:tc>
          <w:tcPr>
            <w:tcW w:w="1000" w:type="dxa"/>
            <w:vAlign w:val="center"/>
          </w:tcPr>
          <w:p>
            <w:pPr>
              <w:spacing w:line="260" w:lineRule="exact"/>
              <w:jc w:val="center"/>
              <w:rPr>
                <w:b/>
              </w:rPr>
            </w:pPr>
            <w:r>
              <w:rPr>
                <w:rFonts w:hint="eastAsia"/>
                <w:b/>
              </w:rPr>
              <w:t>面积（km</w:t>
            </w:r>
            <w:r>
              <w:rPr>
                <w:rFonts w:hint="eastAsia"/>
                <w:b/>
                <w:vertAlign w:val="superscript"/>
              </w:rPr>
              <w:t>2</w:t>
            </w:r>
            <w:r>
              <w:rPr>
                <w:rFonts w:hint="eastAsia"/>
                <w:b/>
              </w:rPr>
              <w:t>）</w:t>
            </w:r>
          </w:p>
        </w:tc>
        <w:tc>
          <w:tcPr>
            <w:tcW w:w="5837" w:type="dxa"/>
            <w:vAlign w:val="center"/>
          </w:tcPr>
          <w:p>
            <w:pPr>
              <w:jc w:val="center"/>
              <w:rPr>
                <w:b/>
              </w:rPr>
            </w:pPr>
            <w:r>
              <w:rPr>
                <w:rFonts w:hint="eastAsia"/>
                <w:b/>
              </w:rPr>
              <w:t>地理位置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675" w:type="dxa"/>
            <w:vAlign w:val="center"/>
          </w:tcPr>
          <w:p>
            <w:pPr>
              <w:jc w:val="center"/>
            </w:pPr>
            <w:r>
              <w:rPr>
                <w:rFonts w:hint="eastAsia"/>
              </w:rPr>
              <w:t>1</w:t>
            </w:r>
          </w:p>
        </w:tc>
        <w:tc>
          <w:tcPr>
            <w:tcW w:w="1560" w:type="dxa"/>
            <w:vAlign w:val="center"/>
          </w:tcPr>
          <w:p>
            <w:pPr>
              <w:jc w:val="center"/>
            </w:pPr>
            <w:r>
              <w:rPr>
                <w:rFonts w:hint="eastAsia"/>
              </w:rPr>
              <w:t>百嘉科技园</w:t>
            </w:r>
          </w:p>
        </w:tc>
        <w:tc>
          <w:tcPr>
            <w:tcW w:w="1000" w:type="dxa"/>
            <w:vAlign w:val="center"/>
          </w:tcPr>
          <w:p>
            <w:pPr>
              <w:jc w:val="center"/>
            </w:pPr>
            <w:r>
              <w:rPr>
                <w:rFonts w:hint="eastAsia"/>
              </w:rPr>
              <w:t>12.06</w:t>
            </w:r>
          </w:p>
        </w:tc>
        <w:tc>
          <w:tcPr>
            <w:tcW w:w="5837" w:type="dxa"/>
            <w:vAlign w:val="center"/>
          </w:tcPr>
          <w:p>
            <w:pPr>
              <w:spacing w:before="60" w:after="60" w:line="260" w:lineRule="exact"/>
              <w:jc w:val="left"/>
            </w:pPr>
            <w:r>
              <w:t>西至广清高速公路</w:t>
            </w:r>
            <w:r>
              <w:rPr>
                <w:rFonts w:hint="eastAsia"/>
              </w:rPr>
              <w:t>，东至广清大道，南至大燕河，北至湖城大道。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675" w:type="dxa"/>
            <w:vAlign w:val="center"/>
          </w:tcPr>
          <w:p>
            <w:pPr>
              <w:jc w:val="center"/>
            </w:pPr>
            <w:r>
              <w:rPr>
                <w:rFonts w:hint="eastAsia"/>
              </w:rPr>
              <w:t>2</w:t>
            </w:r>
          </w:p>
        </w:tc>
        <w:tc>
          <w:tcPr>
            <w:tcW w:w="1560" w:type="dxa"/>
            <w:vAlign w:val="center"/>
          </w:tcPr>
          <w:p>
            <w:pPr>
              <w:jc w:val="center"/>
            </w:pPr>
            <w:r>
              <w:rPr>
                <w:rFonts w:hint="eastAsia"/>
              </w:rPr>
              <w:t>银源工业小区</w:t>
            </w:r>
          </w:p>
        </w:tc>
        <w:tc>
          <w:tcPr>
            <w:tcW w:w="1000" w:type="dxa"/>
            <w:vAlign w:val="center"/>
          </w:tcPr>
          <w:p>
            <w:pPr>
              <w:jc w:val="center"/>
            </w:pPr>
            <w:r>
              <w:rPr>
                <w:rFonts w:hint="eastAsia"/>
              </w:rPr>
              <w:t>3.14</w:t>
            </w:r>
          </w:p>
        </w:tc>
        <w:tc>
          <w:tcPr>
            <w:tcW w:w="5837" w:type="dxa"/>
            <w:vAlign w:val="center"/>
          </w:tcPr>
          <w:p>
            <w:pPr>
              <w:spacing w:before="60" w:after="60" w:line="260" w:lineRule="exact"/>
              <w:jc w:val="left"/>
            </w:pPr>
            <w:r>
              <w:rPr>
                <w:rFonts w:hint="eastAsia"/>
              </w:rPr>
              <w:t>北至佛清从高速，南至银英公路，西接广清大道，用地南北长约3280m，东西宽约800m。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675" w:type="dxa"/>
            <w:vAlign w:val="center"/>
          </w:tcPr>
          <w:p>
            <w:pPr>
              <w:jc w:val="center"/>
            </w:pPr>
            <w:r>
              <w:rPr>
                <w:rFonts w:hint="eastAsia"/>
              </w:rPr>
              <w:t>3</w:t>
            </w:r>
          </w:p>
        </w:tc>
        <w:tc>
          <w:tcPr>
            <w:tcW w:w="1560" w:type="dxa"/>
            <w:vAlign w:val="center"/>
          </w:tcPr>
          <w:p>
            <w:pPr>
              <w:jc w:val="center"/>
            </w:pPr>
            <w:r>
              <w:rPr>
                <w:rFonts w:hint="eastAsia"/>
              </w:rPr>
              <w:t>莲湖产业园</w:t>
            </w:r>
          </w:p>
        </w:tc>
        <w:tc>
          <w:tcPr>
            <w:tcW w:w="1000" w:type="dxa"/>
            <w:vAlign w:val="center"/>
          </w:tcPr>
          <w:p>
            <w:pPr>
              <w:jc w:val="center"/>
            </w:pPr>
            <w:r>
              <w:rPr>
                <w:rFonts w:hint="eastAsia"/>
              </w:rPr>
              <w:t>33.38</w:t>
            </w:r>
          </w:p>
        </w:tc>
        <w:tc>
          <w:tcPr>
            <w:tcW w:w="5837" w:type="dxa"/>
            <w:vAlign w:val="center"/>
          </w:tcPr>
          <w:p>
            <w:pPr>
              <w:spacing w:before="60" w:after="60" w:line="260" w:lineRule="exact"/>
              <w:jc w:val="left"/>
            </w:pPr>
            <w:r>
              <w:rPr>
                <w:rFonts w:hint="eastAsia"/>
              </w:rPr>
              <w:t>规划范围东、南以京广铁路为界，北至规划佛清从高速，西至武广客运专线和广清大道。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675" w:type="dxa"/>
            <w:vAlign w:val="center"/>
          </w:tcPr>
          <w:p>
            <w:pPr>
              <w:jc w:val="center"/>
            </w:pPr>
            <w:r>
              <w:rPr>
                <w:rFonts w:hint="eastAsia"/>
              </w:rPr>
              <w:t>4</w:t>
            </w:r>
          </w:p>
        </w:tc>
        <w:tc>
          <w:tcPr>
            <w:tcW w:w="1560" w:type="dxa"/>
            <w:vAlign w:val="center"/>
          </w:tcPr>
          <w:p>
            <w:pPr>
              <w:jc w:val="center"/>
            </w:pPr>
            <w:r>
              <w:rPr>
                <w:rFonts w:hint="eastAsia"/>
              </w:rPr>
              <w:t>光电产业园</w:t>
            </w:r>
          </w:p>
        </w:tc>
        <w:tc>
          <w:tcPr>
            <w:tcW w:w="1000" w:type="dxa"/>
            <w:vAlign w:val="center"/>
          </w:tcPr>
          <w:p>
            <w:pPr>
              <w:jc w:val="center"/>
            </w:pPr>
            <w:r>
              <w:rPr>
                <w:rFonts w:hint="eastAsia"/>
              </w:rPr>
              <w:t>14.73</w:t>
            </w:r>
          </w:p>
        </w:tc>
        <w:tc>
          <w:tcPr>
            <w:tcW w:w="5837" w:type="dxa"/>
            <w:vAlign w:val="center"/>
          </w:tcPr>
          <w:p>
            <w:pPr>
              <w:spacing w:before="60" w:after="60" w:line="260" w:lineRule="exact"/>
              <w:jc w:val="left"/>
              <w:rPr>
                <w:highlight w:val="yellow"/>
              </w:rPr>
            </w:pPr>
            <w:r>
              <w:rPr>
                <w:rFonts w:hint="eastAsia"/>
              </w:rPr>
              <w:t>规划区位于清远市南部、高新区西部、龙塘镇中部，南邻雄兴工业园和银盏特色小镇，北靠龙塘镇区。规划范围为东至广清大道（107国道）、南至南部山脊、西至广清高速、北至规划佛清从高速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675" w:type="dxa"/>
            <w:vAlign w:val="center"/>
          </w:tcPr>
          <w:p>
            <w:pPr>
              <w:jc w:val="center"/>
            </w:pPr>
            <w:r>
              <w:rPr>
                <w:rFonts w:hint="eastAsia"/>
              </w:rPr>
              <w:t>5</w:t>
            </w:r>
          </w:p>
        </w:tc>
        <w:tc>
          <w:tcPr>
            <w:tcW w:w="1560" w:type="dxa"/>
            <w:vAlign w:val="center"/>
          </w:tcPr>
          <w:p>
            <w:pPr>
              <w:jc w:val="center"/>
            </w:pPr>
            <w:r>
              <w:rPr>
                <w:rFonts w:hint="eastAsia"/>
              </w:rPr>
              <w:t>雄兴工业园</w:t>
            </w:r>
          </w:p>
        </w:tc>
        <w:tc>
          <w:tcPr>
            <w:tcW w:w="1000" w:type="dxa"/>
            <w:vAlign w:val="center"/>
          </w:tcPr>
          <w:p>
            <w:pPr>
              <w:jc w:val="center"/>
            </w:pPr>
            <w:r>
              <w:rPr>
                <w:rFonts w:hint="eastAsia"/>
              </w:rPr>
              <w:t>14.16</w:t>
            </w:r>
          </w:p>
        </w:tc>
        <w:tc>
          <w:tcPr>
            <w:tcW w:w="5837" w:type="dxa"/>
            <w:vAlign w:val="center"/>
          </w:tcPr>
          <w:p>
            <w:pPr>
              <w:spacing w:before="60" w:after="60" w:line="260" w:lineRule="exact"/>
              <w:jc w:val="left"/>
            </w:pPr>
            <w:r>
              <w:rPr>
                <w:rFonts w:hint="eastAsia"/>
              </w:rPr>
              <w:t>规划范围西北临S253和光电产业园，西南至广清高速公路，东南临京广铁路，东北至广清大道。</w:t>
            </w:r>
          </w:p>
        </w:tc>
      </w:tr>
    </w:tbl>
    <w:p>
      <w:pPr>
        <w:ind w:firstLine="560"/>
      </w:pPr>
    </w:p>
    <w:p>
      <w:pPr>
        <w:pStyle w:val="14"/>
        <w:jc w:val="left"/>
      </w:pPr>
      <w:r>
        <w:rPr>
          <w:rFonts w:hint="eastAsia"/>
        </w:rPr>
        <w:t>续 表2.2-1</w:t>
      </w:r>
      <w:r>
        <w:t xml:space="preserve"> </w:t>
      </w:r>
    </w:p>
    <w:tbl>
      <w:tblPr>
        <w:tblStyle w:val="6"/>
        <w:tblW w:w="907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675"/>
        <w:gridCol w:w="1560"/>
        <w:gridCol w:w="1000"/>
        <w:gridCol w:w="58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675" w:type="dxa"/>
            <w:vAlign w:val="center"/>
          </w:tcPr>
          <w:p>
            <w:pPr>
              <w:jc w:val="center"/>
              <w:rPr>
                <w:b/>
              </w:rPr>
            </w:pPr>
            <w:r>
              <w:rPr>
                <w:rFonts w:hint="eastAsia"/>
                <w:b/>
              </w:rPr>
              <w:t>序号</w:t>
            </w:r>
          </w:p>
        </w:tc>
        <w:tc>
          <w:tcPr>
            <w:tcW w:w="1560" w:type="dxa"/>
            <w:vAlign w:val="center"/>
          </w:tcPr>
          <w:p>
            <w:pPr>
              <w:jc w:val="center"/>
              <w:rPr>
                <w:b/>
              </w:rPr>
            </w:pPr>
            <w:r>
              <w:rPr>
                <w:rFonts w:hint="eastAsia"/>
                <w:b/>
              </w:rPr>
              <w:t>名称</w:t>
            </w:r>
          </w:p>
        </w:tc>
        <w:tc>
          <w:tcPr>
            <w:tcW w:w="1000" w:type="dxa"/>
            <w:vAlign w:val="center"/>
          </w:tcPr>
          <w:p>
            <w:pPr>
              <w:spacing w:line="260" w:lineRule="exact"/>
              <w:jc w:val="center"/>
              <w:rPr>
                <w:b/>
              </w:rPr>
            </w:pPr>
            <w:r>
              <w:rPr>
                <w:rFonts w:hint="eastAsia"/>
                <w:b/>
              </w:rPr>
              <w:t>面积（km</w:t>
            </w:r>
            <w:r>
              <w:rPr>
                <w:rFonts w:hint="eastAsia"/>
                <w:b/>
                <w:vertAlign w:val="superscript"/>
              </w:rPr>
              <w:t>2</w:t>
            </w:r>
            <w:r>
              <w:rPr>
                <w:rFonts w:hint="eastAsia"/>
                <w:b/>
              </w:rPr>
              <w:t>）</w:t>
            </w:r>
          </w:p>
        </w:tc>
        <w:tc>
          <w:tcPr>
            <w:tcW w:w="5837" w:type="dxa"/>
            <w:vAlign w:val="center"/>
          </w:tcPr>
          <w:p>
            <w:pPr>
              <w:jc w:val="center"/>
              <w:rPr>
                <w:b/>
              </w:rPr>
            </w:pPr>
            <w:r>
              <w:rPr>
                <w:rFonts w:hint="eastAsia"/>
                <w:b/>
              </w:rPr>
              <w:t>地理位置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675" w:type="dxa"/>
            <w:vAlign w:val="center"/>
          </w:tcPr>
          <w:p>
            <w:pPr>
              <w:jc w:val="center"/>
            </w:pPr>
            <w:r>
              <w:rPr>
                <w:rFonts w:hint="eastAsia"/>
              </w:rPr>
              <w:t>6</w:t>
            </w:r>
          </w:p>
        </w:tc>
        <w:tc>
          <w:tcPr>
            <w:tcW w:w="1560" w:type="dxa"/>
            <w:vAlign w:val="center"/>
          </w:tcPr>
          <w:p>
            <w:pPr>
              <w:jc w:val="center"/>
            </w:pPr>
            <w:r>
              <w:rPr>
                <w:rFonts w:hint="eastAsia"/>
              </w:rPr>
              <w:t>嘉福工业园</w:t>
            </w:r>
          </w:p>
        </w:tc>
        <w:tc>
          <w:tcPr>
            <w:tcW w:w="1000" w:type="dxa"/>
            <w:vAlign w:val="center"/>
          </w:tcPr>
          <w:p>
            <w:pPr>
              <w:jc w:val="center"/>
            </w:pPr>
            <w:r>
              <w:rPr>
                <w:rFonts w:hint="eastAsia"/>
              </w:rPr>
              <w:t>1.898</w:t>
            </w:r>
          </w:p>
        </w:tc>
        <w:tc>
          <w:tcPr>
            <w:tcW w:w="5837" w:type="dxa"/>
            <w:vAlign w:val="center"/>
          </w:tcPr>
          <w:p>
            <w:pPr>
              <w:spacing w:before="60" w:after="60" w:line="260" w:lineRule="exact"/>
            </w:pPr>
            <w:r>
              <w:rPr>
                <w:rFonts w:hint="eastAsia"/>
              </w:rPr>
              <w:t>区域位于清远市的最南端，东面为广清高速公路，交通便利。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675" w:type="dxa"/>
            <w:vAlign w:val="center"/>
          </w:tcPr>
          <w:p>
            <w:pPr>
              <w:jc w:val="center"/>
            </w:pPr>
            <w:r>
              <w:rPr>
                <w:rFonts w:hint="eastAsia"/>
              </w:rPr>
              <w:t>7</w:t>
            </w:r>
          </w:p>
        </w:tc>
        <w:tc>
          <w:tcPr>
            <w:tcW w:w="1560" w:type="dxa"/>
            <w:vAlign w:val="center"/>
          </w:tcPr>
          <w:p>
            <w:pPr>
              <w:jc w:val="center"/>
            </w:pPr>
            <w:r>
              <w:rPr>
                <w:rFonts w:hint="eastAsia"/>
              </w:rPr>
              <w:t>泰基工业园</w:t>
            </w:r>
          </w:p>
        </w:tc>
        <w:tc>
          <w:tcPr>
            <w:tcW w:w="1000" w:type="dxa"/>
            <w:vAlign w:val="center"/>
          </w:tcPr>
          <w:p>
            <w:pPr>
              <w:jc w:val="center"/>
            </w:pPr>
            <w:r>
              <w:rPr>
                <w:rFonts w:hint="eastAsia"/>
              </w:rPr>
              <w:t>1.227</w:t>
            </w:r>
          </w:p>
        </w:tc>
        <w:tc>
          <w:tcPr>
            <w:tcW w:w="5837" w:type="dxa"/>
            <w:vAlign w:val="center"/>
          </w:tcPr>
          <w:p>
            <w:pPr>
              <w:spacing w:before="60" w:after="60" w:line="260" w:lineRule="exact"/>
              <w:jc w:val="left"/>
            </w:pPr>
            <w:r>
              <w:rPr>
                <w:rFonts w:hint="eastAsia"/>
              </w:rPr>
              <w:t>北至京广铁路，西临广清高速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675" w:type="dxa"/>
            <w:vAlign w:val="center"/>
          </w:tcPr>
          <w:p>
            <w:pPr>
              <w:jc w:val="center"/>
            </w:pPr>
            <w:r>
              <w:rPr>
                <w:rFonts w:hint="eastAsia"/>
              </w:rPr>
              <w:t>8</w:t>
            </w:r>
          </w:p>
        </w:tc>
        <w:tc>
          <w:tcPr>
            <w:tcW w:w="1560" w:type="dxa"/>
            <w:vAlign w:val="center"/>
          </w:tcPr>
          <w:p>
            <w:pPr>
              <w:jc w:val="center"/>
            </w:pPr>
            <w:r>
              <w:rPr>
                <w:rFonts w:hint="eastAsia"/>
              </w:rPr>
              <w:t>电子信息产业园</w:t>
            </w:r>
          </w:p>
        </w:tc>
        <w:tc>
          <w:tcPr>
            <w:tcW w:w="1000" w:type="dxa"/>
            <w:vAlign w:val="center"/>
          </w:tcPr>
          <w:p>
            <w:pPr>
              <w:jc w:val="center"/>
            </w:pPr>
            <w:r>
              <w:rPr>
                <w:rFonts w:hint="eastAsia"/>
              </w:rPr>
              <w:t>1.882</w:t>
            </w:r>
          </w:p>
        </w:tc>
        <w:tc>
          <w:tcPr>
            <w:tcW w:w="5837" w:type="dxa"/>
            <w:vAlign w:val="center"/>
          </w:tcPr>
          <w:p>
            <w:pPr>
              <w:spacing w:before="60" w:after="60" w:line="260" w:lineRule="exact"/>
              <w:jc w:val="left"/>
            </w:pPr>
            <w:r>
              <w:rPr>
                <w:rFonts w:hint="eastAsia"/>
              </w:rPr>
              <w:t>包含原电子信息产业园（0.836km</w:t>
            </w:r>
            <w:r>
              <w:rPr>
                <w:rFonts w:hint="eastAsia"/>
                <w:vertAlign w:val="superscript"/>
              </w:rPr>
              <w:t>2</w:t>
            </w:r>
            <w:r>
              <w:rPr>
                <w:rFonts w:hint="eastAsia"/>
              </w:rPr>
              <w:t>）和首都高新技术产业转移园（1.046km</w:t>
            </w:r>
            <w:r>
              <w:rPr>
                <w:rFonts w:hint="eastAsia"/>
                <w:vertAlign w:val="superscript"/>
              </w:rPr>
              <w:t>2</w:t>
            </w:r>
            <w:r>
              <w:rPr>
                <w:rFonts w:hint="eastAsia"/>
              </w:rPr>
              <w:t>）。规划</w:t>
            </w:r>
            <w:r>
              <w:t>范围西和北为银英公路</w:t>
            </w:r>
            <w:r>
              <w:rPr>
                <w:rFonts w:hint="eastAsia"/>
              </w:rPr>
              <w:t>，东北至清晖南路，</w:t>
            </w:r>
            <w:r>
              <w:t>东至京广高速</w:t>
            </w:r>
            <w:r>
              <w:rPr>
                <w:rFonts w:hint="eastAsia"/>
              </w:rPr>
              <w:t>。</w:t>
            </w:r>
            <w:r>
              <w:t>南面为园区外发展用地</w:t>
            </w:r>
            <w:r>
              <w:rPr>
                <w:rFonts w:hint="eastAsia"/>
              </w:rPr>
              <w:t>。</w:t>
            </w:r>
          </w:p>
        </w:tc>
      </w:tr>
    </w:tbl>
    <w:p>
      <w:pPr>
        <w:spacing w:after="240" w:line="240" w:lineRule="atLeast"/>
        <w:ind w:left="2240" w:hanging="2240" w:hangingChars="700"/>
        <w:jc w:val="left"/>
        <w:rPr>
          <w:rFonts w:hint="eastAsia" w:ascii="宋体" w:hAnsi="宋体"/>
          <w:sz w:val="32"/>
          <w:szCs w:val="32"/>
        </w:rPr>
      </w:pPr>
    </w:p>
    <w:p>
      <w:pPr>
        <w:keepNext/>
        <w:keepLines/>
        <w:pageBreakBefore/>
        <w:widowControl/>
        <w:spacing w:before="1092" w:beforeLines="350" w:after="1248" w:afterLines="400" w:line="960" w:lineRule="exact"/>
        <w:jc w:val="center"/>
        <w:outlineLvl w:val="0"/>
        <w:rPr>
          <w:rFonts w:eastAsia="黑体"/>
          <w:bCs/>
          <w:color w:val="000000"/>
          <w:kern w:val="44"/>
          <w:sz w:val="44"/>
          <w:szCs w:val="44"/>
          <w:lang w:bidi="en-US"/>
        </w:rPr>
      </w:pPr>
      <w:bookmarkStart w:id="25" w:name="_Toc530931558"/>
      <w:bookmarkStart w:id="26" w:name="_Toc48056598"/>
      <w:r>
        <w:rPr>
          <w:rFonts w:hint="eastAsia" w:eastAsia="黑体"/>
          <w:bCs/>
          <w:color w:val="000000"/>
          <w:kern w:val="44"/>
          <w:sz w:val="44"/>
          <w:szCs w:val="44"/>
          <w:lang w:bidi="en-US"/>
        </w:rPr>
        <w:t>第八章</w:t>
      </w:r>
      <w:r>
        <w:rPr>
          <w:rFonts w:eastAsia="黑体"/>
          <w:bCs/>
          <w:color w:val="000000"/>
          <w:kern w:val="44"/>
          <w:sz w:val="44"/>
          <w:szCs w:val="44"/>
          <w:lang w:bidi="en-US"/>
        </w:rPr>
        <w:t xml:space="preserve">  </w:t>
      </w:r>
      <w:r>
        <w:rPr>
          <w:rFonts w:hint="eastAsia" w:eastAsia="黑体"/>
          <w:bCs/>
          <w:color w:val="000000"/>
          <w:kern w:val="44"/>
          <w:sz w:val="44"/>
          <w:szCs w:val="44"/>
          <w:lang w:bidi="en-US"/>
        </w:rPr>
        <w:t>评估结论</w:t>
      </w:r>
      <w:bookmarkEnd w:id="25"/>
      <w:bookmarkEnd w:id="26"/>
    </w:p>
    <w:p>
      <w:pPr>
        <w:widowControl/>
        <w:spacing w:after="120" w:line="500" w:lineRule="exact"/>
        <w:ind w:firstLine="560" w:firstLineChars="200"/>
        <w:rPr>
          <w:sz w:val="28"/>
          <w:szCs w:val="21"/>
        </w:rPr>
      </w:pPr>
      <w:r>
        <w:rPr>
          <w:rFonts w:hint="eastAsia"/>
          <w:sz w:val="28"/>
          <w:szCs w:val="21"/>
        </w:rPr>
        <w:t>本报告分析结论是根据清远高新区八个园区所处大气雷电环境、地域特点、区域特点等进行的专项评价，具有很强的针对性，因此本报告区域雷电风险管理措施仅适用于清远高新区的百嘉科技园、银源工业小区、莲湖产业园、光电产业园、雄兴工业园、嘉福工业园、泰基工业园和电子信息产业园。</w:t>
      </w:r>
    </w:p>
    <w:p>
      <w:pPr>
        <w:widowControl/>
        <w:spacing w:after="120" w:line="500" w:lineRule="exact"/>
        <w:ind w:firstLine="560" w:firstLineChars="200"/>
        <w:rPr>
          <w:sz w:val="28"/>
          <w:szCs w:val="21"/>
        </w:rPr>
      </w:pPr>
      <w:r>
        <w:rPr>
          <w:sz w:val="28"/>
          <w:szCs w:val="21"/>
        </w:rPr>
        <w:t>按照</w:t>
      </w:r>
      <w:r>
        <w:rPr>
          <w:rFonts w:hint="eastAsia"/>
          <w:sz w:val="28"/>
          <w:szCs w:val="21"/>
        </w:rPr>
        <w:t>《关于印发&lt;广东省工程建设项目区域评估操作规程&gt;的函》（粤自然资函〔2019〕2284号）文件规定，清远高新区的百嘉科技园、银源工业小区、莲湖产业园、光电产业园、雄兴工业园、嘉福工业园、泰基工业园和电子信息产业园中</w:t>
      </w:r>
      <w:r>
        <w:rPr>
          <w:sz w:val="28"/>
          <w:szCs w:val="21"/>
        </w:rPr>
        <w:t>属于例外清单中的项目</w:t>
      </w:r>
      <w:r>
        <w:rPr>
          <w:rFonts w:hint="eastAsia"/>
          <w:sz w:val="28"/>
          <w:szCs w:val="21"/>
        </w:rPr>
        <w:t>，</w:t>
      </w:r>
      <w:r>
        <w:rPr>
          <w:sz w:val="28"/>
          <w:szCs w:val="21"/>
        </w:rPr>
        <w:t>不适用本报告评估结论</w:t>
      </w:r>
      <w:r>
        <w:rPr>
          <w:rFonts w:hint="eastAsia"/>
          <w:sz w:val="28"/>
          <w:szCs w:val="21"/>
        </w:rPr>
        <w:t>，须依法依规单独开展雷电灾害风险评估工作。</w:t>
      </w:r>
    </w:p>
    <w:p>
      <w:pPr>
        <w:widowControl/>
        <w:spacing w:after="120" w:line="500" w:lineRule="exact"/>
        <w:ind w:firstLine="560" w:firstLineChars="200"/>
        <w:rPr>
          <w:sz w:val="28"/>
          <w:szCs w:val="21"/>
        </w:rPr>
      </w:pPr>
      <w:r>
        <w:rPr>
          <w:rFonts w:hint="eastAsia"/>
          <w:sz w:val="28"/>
          <w:szCs w:val="21"/>
        </w:rPr>
        <w:t>通过对清远高新区区域雷电灾害风险进行评估分析，得出以下主要结论：</w:t>
      </w:r>
    </w:p>
    <w:p>
      <w:pPr>
        <w:keepNext/>
        <w:keepLines/>
        <w:widowControl/>
        <w:spacing w:before="260" w:after="260" w:line="415" w:lineRule="auto"/>
        <w:outlineLvl w:val="1"/>
        <w:rPr>
          <w:rFonts w:eastAsia="黑体"/>
          <w:bCs/>
          <w:color w:val="000000"/>
          <w:sz w:val="32"/>
          <w:szCs w:val="32"/>
        </w:rPr>
      </w:pPr>
      <w:bookmarkStart w:id="27" w:name="_Toc530931559"/>
      <w:bookmarkStart w:id="28" w:name="_Toc48056599"/>
      <w:r>
        <w:rPr>
          <w:rFonts w:hint="eastAsia" w:eastAsia="黑体"/>
          <w:bCs/>
          <w:color w:val="000000"/>
          <w:sz w:val="32"/>
          <w:szCs w:val="32"/>
        </w:rPr>
        <w:t>8.1 数据资料选取</w:t>
      </w:r>
      <w:bookmarkEnd w:id="27"/>
      <w:bookmarkEnd w:id="28"/>
    </w:p>
    <w:p>
      <w:pPr>
        <w:widowControl/>
        <w:spacing w:after="120" w:line="500" w:lineRule="exact"/>
        <w:ind w:firstLine="560" w:firstLineChars="200"/>
        <w:rPr>
          <w:sz w:val="28"/>
          <w:szCs w:val="21"/>
        </w:rPr>
      </w:pPr>
      <w:r>
        <w:rPr>
          <w:rFonts w:hint="eastAsia"/>
          <w:color w:val="000000"/>
          <w:sz w:val="28"/>
          <w:szCs w:val="21"/>
        </w:rPr>
        <w:t>根据项目地理位置，选取清远站（59280）和花都站（59284）的气象雷暴日资料。根据清远高新区地理坐标，选取广东省雷电定位系统1999-2019年共21年雷电监测数据资料进行地闪数据处理，对清远高新区及扩充的5km半径范围地闪数据进行统计分析。雷电灾害资料采用广东省防雷减灾管理办公室发布的2010-2019年《广东省雷电灾害典型实例汇编》。</w:t>
      </w:r>
    </w:p>
    <w:p>
      <w:pPr>
        <w:keepNext/>
        <w:keepLines/>
        <w:widowControl/>
        <w:spacing w:before="260" w:after="260" w:line="415" w:lineRule="auto"/>
        <w:outlineLvl w:val="1"/>
        <w:rPr>
          <w:rFonts w:eastAsia="黑体"/>
          <w:bCs/>
          <w:sz w:val="32"/>
          <w:szCs w:val="32"/>
        </w:rPr>
      </w:pPr>
      <w:bookmarkStart w:id="29" w:name="_Toc48056600"/>
      <w:bookmarkStart w:id="30" w:name="_Toc530931560"/>
      <w:r>
        <w:rPr>
          <w:rFonts w:hint="eastAsia" w:eastAsia="黑体"/>
          <w:bCs/>
          <w:sz w:val="32"/>
          <w:szCs w:val="32"/>
        </w:rPr>
        <w:t>8.2 工程现场勘测</w:t>
      </w:r>
      <w:bookmarkEnd w:id="29"/>
      <w:bookmarkEnd w:id="30"/>
    </w:p>
    <w:p>
      <w:pPr>
        <w:widowControl/>
        <w:spacing w:after="120" w:line="500" w:lineRule="exact"/>
        <w:ind w:firstLine="560" w:firstLineChars="200"/>
        <w:rPr>
          <w:color w:val="000000"/>
          <w:sz w:val="28"/>
          <w:szCs w:val="21"/>
        </w:rPr>
      </w:pPr>
      <w:r>
        <w:rPr>
          <w:rFonts w:hint="eastAsia"/>
          <w:color w:val="000000"/>
          <w:sz w:val="28"/>
          <w:szCs w:val="21"/>
        </w:rPr>
        <w:t>清远市高新区地形以丘陵和平原为主。地势东南高，西北低；东部地区高差及坡度相对较大。场地高程相差较大，最高海拔 581m，最高峰为天坪岭山顶。丘陵地貌占全区面积的 60%，主要山体有牙鹰岭、惠州岭、天坪岭等，植被茂盛，生态环境较好，种植以松树林和桉树林为主；地面水资源丰富，水域面积 4km²，包括大燕河、龙塘河、迎咀河、东坑林场水库、长冲水库及其他小型湖泊和池塘等。</w:t>
      </w:r>
    </w:p>
    <w:p>
      <w:pPr>
        <w:widowControl/>
        <w:spacing w:after="120" w:line="500" w:lineRule="exact"/>
        <w:ind w:firstLine="560" w:firstLineChars="200"/>
        <w:rPr>
          <w:color w:val="000000"/>
          <w:sz w:val="28"/>
          <w:szCs w:val="21"/>
        </w:rPr>
      </w:pPr>
      <w:r>
        <w:rPr>
          <w:color w:val="000000"/>
          <w:sz w:val="28"/>
          <w:szCs w:val="21"/>
        </w:rPr>
        <w:t>2020年6-7月我单位于清远市高新区共采集34个土壤电阻率检测点350项数据。园区各测点土壤电阻率数值差距较大，均值最大为314.89Ω•m的测点位于莲湖产业园，最小为45.72Ω•m位于百嘉科技园</w:t>
      </w:r>
      <w:r>
        <w:rPr>
          <w:rFonts w:hint="eastAsia"/>
          <w:color w:val="000000"/>
          <w:sz w:val="28"/>
          <w:szCs w:val="21"/>
        </w:rPr>
        <w:t>。</w:t>
      </w:r>
      <w:r>
        <w:rPr>
          <w:color w:val="000000"/>
          <w:sz w:val="28"/>
          <w:szCs w:val="21"/>
        </w:rPr>
        <w:t>土壤电阻率平均值为182.3Ω•m，其中浅层（极间距1-5m）平均值为227.41Ω•m，深层（极间距6-10m）平均值为137.28Ω•m。</w:t>
      </w:r>
    </w:p>
    <w:p>
      <w:pPr>
        <w:widowControl/>
        <w:jc w:val="center"/>
        <w:rPr>
          <w:color w:val="000000"/>
          <w:sz w:val="28"/>
          <w:szCs w:val="21"/>
        </w:rPr>
      </w:pPr>
      <w:r>
        <w:rPr>
          <w:color w:val="000000"/>
          <w:sz w:val="28"/>
          <w:szCs w:val="21"/>
        </w:rPr>
        <w:drawing>
          <wp:inline distT="0" distB="0" distL="0" distR="0">
            <wp:extent cx="5759450" cy="2638425"/>
            <wp:effectExtent l="19050" t="19050" r="12700" b="285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l="493" t="1034" r="10069" b="2325"/>
                    <a:stretch>
                      <a:fillRect/>
                    </a:stretch>
                  </pic:blipFill>
                  <pic:spPr>
                    <a:xfrm>
                      <a:off x="0" y="0"/>
                      <a:ext cx="5760000" cy="2638800"/>
                    </a:xfrm>
                    <a:prstGeom prst="rect">
                      <a:avLst/>
                    </a:prstGeom>
                    <a:noFill/>
                    <a:ln w="6350" cap="flat" cmpd="sng" algn="ctr">
                      <a:solidFill>
                        <a:sysClr val="windowText" lastClr="000000"/>
                      </a:solidFill>
                      <a:prstDash val="solid"/>
                      <a:round/>
                      <a:headEnd type="none" w="med" len="med"/>
                      <a:tailEnd type="none" w="med" len="med"/>
                    </a:ln>
                  </pic:spPr>
                </pic:pic>
              </a:graphicData>
            </a:graphic>
          </wp:inline>
        </w:drawing>
      </w:r>
    </w:p>
    <w:p>
      <w:pPr>
        <w:widowControl/>
        <w:spacing w:after="240"/>
        <w:jc w:val="center"/>
        <w:outlineLvl w:val="8"/>
        <w:rPr>
          <w:rFonts w:eastAsia="黑体"/>
          <w:color w:val="000000"/>
          <w:kern w:val="0"/>
          <w:sz w:val="24"/>
          <w:szCs w:val="22"/>
        </w:rPr>
      </w:pPr>
      <w:r>
        <w:rPr>
          <w:rFonts w:hint="eastAsia" w:eastAsia="黑体"/>
          <w:color w:val="000000"/>
          <w:kern w:val="0"/>
          <w:sz w:val="24"/>
          <w:szCs w:val="22"/>
        </w:rPr>
        <w:t>图8</w:t>
      </w:r>
      <w:r>
        <w:rPr>
          <w:rFonts w:eastAsia="黑体"/>
          <w:color w:val="000000"/>
          <w:kern w:val="0"/>
          <w:sz w:val="24"/>
          <w:szCs w:val="22"/>
        </w:rPr>
        <w:t>.</w:t>
      </w:r>
      <w:r>
        <w:rPr>
          <w:rFonts w:hint="eastAsia" w:eastAsia="黑体"/>
          <w:color w:val="000000"/>
          <w:kern w:val="0"/>
          <w:sz w:val="24"/>
          <w:szCs w:val="22"/>
        </w:rPr>
        <w:t>2</w:t>
      </w:r>
      <w:r>
        <w:rPr>
          <w:rFonts w:eastAsia="黑体"/>
          <w:color w:val="000000"/>
          <w:kern w:val="0"/>
          <w:sz w:val="24"/>
          <w:szCs w:val="22"/>
        </w:rPr>
        <w:t>-1</w:t>
      </w:r>
      <w:r>
        <w:rPr>
          <w:rFonts w:hint="eastAsia" w:eastAsia="黑体"/>
          <w:color w:val="000000"/>
          <w:kern w:val="0"/>
          <w:sz w:val="24"/>
          <w:szCs w:val="22"/>
        </w:rPr>
        <w:t xml:space="preserve">  项目各测点浅层（极间距1-5m）平均土壤电阻率变化曲线图</w:t>
      </w:r>
    </w:p>
    <w:p>
      <w:pPr>
        <w:widowControl/>
        <w:jc w:val="center"/>
        <w:outlineLvl w:val="8"/>
        <w:rPr>
          <w:rFonts w:eastAsia="黑体"/>
          <w:color w:val="000000"/>
          <w:kern w:val="0"/>
          <w:sz w:val="24"/>
          <w:szCs w:val="22"/>
        </w:rPr>
      </w:pPr>
      <w:r>
        <w:rPr>
          <w:rFonts w:eastAsia="黑体"/>
          <w:color w:val="000000"/>
          <w:kern w:val="0"/>
          <w:sz w:val="24"/>
          <w:szCs w:val="22"/>
        </w:rPr>
        <w:drawing>
          <wp:inline distT="0" distB="0" distL="0" distR="0">
            <wp:extent cx="5759450" cy="2724785"/>
            <wp:effectExtent l="19050" t="19050" r="12700" b="184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a:extLst>
                        <a:ext uri="{28A0092B-C50C-407E-A947-70E740481C1C}">
                          <a14:useLocalDpi xmlns:a14="http://schemas.microsoft.com/office/drawing/2010/main" val="0"/>
                        </a:ext>
                      </a:extLst>
                    </a:blip>
                    <a:srcRect l="886" r="6763"/>
                    <a:stretch>
                      <a:fillRect/>
                    </a:stretch>
                  </pic:blipFill>
                  <pic:spPr>
                    <a:xfrm>
                      <a:off x="0" y="0"/>
                      <a:ext cx="5760000" cy="2725200"/>
                    </a:xfrm>
                    <a:prstGeom prst="rect">
                      <a:avLst/>
                    </a:prstGeom>
                    <a:noFill/>
                    <a:ln w="6350">
                      <a:solidFill>
                        <a:sysClr val="windowText" lastClr="000000"/>
                      </a:solidFill>
                    </a:ln>
                  </pic:spPr>
                </pic:pic>
              </a:graphicData>
            </a:graphic>
          </wp:inline>
        </w:drawing>
      </w:r>
    </w:p>
    <w:p>
      <w:pPr>
        <w:widowControl/>
        <w:spacing w:after="240" w:line="500" w:lineRule="exact"/>
        <w:jc w:val="center"/>
        <w:outlineLvl w:val="8"/>
        <w:rPr>
          <w:rFonts w:eastAsia="黑体"/>
          <w:color w:val="000000"/>
          <w:kern w:val="0"/>
          <w:sz w:val="24"/>
          <w:szCs w:val="22"/>
        </w:rPr>
      </w:pPr>
      <w:r>
        <w:rPr>
          <w:rFonts w:hint="eastAsia" w:eastAsia="黑体"/>
          <w:color w:val="000000"/>
          <w:kern w:val="0"/>
          <w:sz w:val="24"/>
          <w:szCs w:val="22"/>
        </w:rPr>
        <w:t>图8</w:t>
      </w:r>
      <w:r>
        <w:rPr>
          <w:rFonts w:eastAsia="黑体"/>
          <w:color w:val="000000"/>
          <w:kern w:val="0"/>
          <w:sz w:val="24"/>
          <w:szCs w:val="22"/>
        </w:rPr>
        <w:t>.</w:t>
      </w:r>
      <w:r>
        <w:rPr>
          <w:rFonts w:hint="eastAsia" w:eastAsia="黑体"/>
          <w:color w:val="000000"/>
          <w:kern w:val="0"/>
          <w:sz w:val="24"/>
          <w:szCs w:val="22"/>
        </w:rPr>
        <w:t>2</w:t>
      </w:r>
      <w:r>
        <w:rPr>
          <w:rFonts w:eastAsia="黑体"/>
          <w:color w:val="000000"/>
          <w:kern w:val="0"/>
          <w:sz w:val="24"/>
          <w:szCs w:val="22"/>
        </w:rPr>
        <w:t>-</w:t>
      </w:r>
      <w:r>
        <w:rPr>
          <w:rFonts w:hint="eastAsia" w:eastAsia="黑体"/>
          <w:color w:val="000000"/>
          <w:kern w:val="0"/>
          <w:sz w:val="24"/>
          <w:szCs w:val="22"/>
        </w:rPr>
        <w:t>2  项目各测点浅层（极间距6-10m）平均土壤电阻率变化曲线图</w:t>
      </w:r>
    </w:p>
    <w:p>
      <w:pPr>
        <w:widowControl/>
        <w:spacing w:after="120" w:line="500" w:lineRule="exact"/>
        <w:ind w:firstLine="560" w:firstLineChars="200"/>
        <w:rPr>
          <w:color w:val="000000"/>
          <w:sz w:val="28"/>
          <w:szCs w:val="21"/>
        </w:rPr>
      </w:pPr>
      <w:r>
        <w:rPr>
          <w:color w:val="000000"/>
          <w:sz w:val="28"/>
          <w:szCs w:val="21"/>
        </w:rPr>
        <w:t>以平均值来看，百嘉科技园和光电产业园存在部分测点土壤电阻率绝对差距较大，银源工业小区4个测点电阻率值较小整体接近。电子信息产业园和莲湖产业园部分测点土壤电阻率较高。</w:t>
      </w:r>
    </w:p>
    <w:p>
      <w:pPr>
        <w:keepNext/>
        <w:keepLines/>
        <w:widowControl/>
        <w:spacing w:before="260" w:after="260" w:line="415" w:lineRule="auto"/>
        <w:outlineLvl w:val="1"/>
        <w:rPr>
          <w:rFonts w:eastAsia="黑体"/>
          <w:bCs/>
          <w:sz w:val="32"/>
          <w:szCs w:val="32"/>
        </w:rPr>
      </w:pPr>
      <w:bookmarkStart w:id="31" w:name="_Toc530931561"/>
      <w:bookmarkStart w:id="32" w:name="_Toc48056601"/>
      <w:r>
        <w:rPr>
          <w:rFonts w:hint="eastAsia" w:eastAsia="黑体"/>
          <w:bCs/>
          <w:sz w:val="32"/>
          <w:szCs w:val="32"/>
        </w:rPr>
        <w:t>8.3 大气雷电环境评价</w:t>
      </w:r>
      <w:bookmarkEnd w:id="31"/>
      <w:bookmarkEnd w:id="32"/>
    </w:p>
    <w:p>
      <w:pPr>
        <w:widowControl/>
        <w:spacing w:after="120" w:line="500" w:lineRule="exact"/>
        <w:ind w:firstLine="560" w:firstLineChars="200"/>
        <w:rPr>
          <w:sz w:val="28"/>
          <w:szCs w:val="21"/>
        </w:rPr>
      </w:pPr>
      <w:r>
        <w:rPr>
          <w:rFonts w:hint="eastAsia"/>
          <w:color w:val="000000"/>
          <w:sz w:val="28"/>
          <w:szCs w:val="21"/>
        </w:rPr>
        <w:t>（（</w:t>
      </w:r>
      <w:r>
        <w:rPr>
          <w:color w:val="000000"/>
          <w:sz w:val="28"/>
          <w:szCs w:val="21"/>
        </w:rPr>
        <w:t>1</w:t>
      </w:r>
      <w:r>
        <w:rPr>
          <w:rFonts w:hint="eastAsia"/>
          <w:color w:val="000000"/>
          <w:sz w:val="28"/>
          <w:szCs w:val="21"/>
        </w:rPr>
        <w:t>）</w:t>
      </w:r>
      <w:r>
        <w:rPr>
          <w:sz w:val="28"/>
          <w:szCs w:val="21"/>
        </w:rPr>
        <w:t>项目</w:t>
      </w:r>
      <w:r>
        <w:rPr>
          <w:rFonts w:hint="eastAsia"/>
          <w:sz w:val="28"/>
          <w:szCs w:val="21"/>
        </w:rPr>
        <w:t>位于</w:t>
      </w:r>
      <w:r>
        <w:rPr>
          <w:rFonts w:hint="eastAsia"/>
          <w:color w:val="000000"/>
          <w:sz w:val="28"/>
          <w:szCs w:val="21"/>
        </w:rPr>
        <w:t>清远市中心城区以南</w:t>
      </w:r>
      <w:r>
        <w:rPr>
          <w:sz w:val="28"/>
          <w:szCs w:val="21"/>
        </w:rPr>
        <w:t>，雷暴日数据取自</w:t>
      </w:r>
      <w:r>
        <w:rPr>
          <w:rFonts w:hint="eastAsia"/>
          <w:color w:val="000000"/>
          <w:sz w:val="28"/>
          <w:szCs w:val="21"/>
        </w:rPr>
        <w:t>邻近项目所在地的清远</w:t>
      </w:r>
      <w:r>
        <w:rPr>
          <w:color w:val="000000"/>
          <w:sz w:val="28"/>
          <w:szCs w:val="21"/>
        </w:rPr>
        <w:t>气象观测站、</w:t>
      </w:r>
      <w:r>
        <w:rPr>
          <w:rFonts w:hint="eastAsia"/>
          <w:color w:val="000000"/>
          <w:sz w:val="28"/>
          <w:szCs w:val="21"/>
        </w:rPr>
        <w:t>花都</w:t>
      </w:r>
      <w:r>
        <w:rPr>
          <w:color w:val="000000"/>
          <w:sz w:val="28"/>
          <w:szCs w:val="21"/>
        </w:rPr>
        <w:t>气象观测站</w:t>
      </w:r>
      <w:r>
        <w:rPr>
          <w:sz w:val="28"/>
          <w:szCs w:val="21"/>
        </w:rPr>
        <w:t>年平均雷暴日分别为83.2d和73.8d</w:t>
      </w:r>
      <w:r>
        <w:rPr>
          <w:sz w:val="28"/>
        </w:rPr>
        <w:t>，属</w:t>
      </w:r>
      <w:r>
        <w:rPr>
          <w:sz w:val="28"/>
          <w:szCs w:val="21"/>
        </w:rPr>
        <w:t>多雷区。</w:t>
      </w:r>
    </w:p>
    <w:p>
      <w:pPr>
        <w:widowControl/>
        <w:spacing w:after="120" w:line="500" w:lineRule="exact"/>
        <w:ind w:firstLine="560" w:firstLineChars="200"/>
        <w:rPr>
          <w:color w:val="000000"/>
          <w:sz w:val="28"/>
          <w:szCs w:val="21"/>
        </w:rPr>
      </w:pPr>
      <w:r>
        <w:rPr>
          <w:rFonts w:hint="eastAsia"/>
          <w:color w:val="000000"/>
          <w:sz w:val="28"/>
          <w:szCs w:val="21"/>
        </w:rPr>
        <w:t>（</w:t>
      </w:r>
      <w:r>
        <w:rPr>
          <w:color w:val="000000"/>
          <w:sz w:val="28"/>
          <w:szCs w:val="21"/>
        </w:rPr>
        <w:t>2</w:t>
      </w:r>
      <w:r>
        <w:rPr>
          <w:rFonts w:hint="eastAsia"/>
          <w:color w:val="000000"/>
          <w:sz w:val="28"/>
          <w:szCs w:val="21"/>
        </w:rPr>
        <w:t>）</w:t>
      </w:r>
      <w:r>
        <w:rPr>
          <w:color w:val="000000"/>
          <w:sz w:val="28"/>
          <w:szCs w:val="21"/>
        </w:rPr>
        <w:t>地闪密度值、平均电流强度、50%概率对应的雷电流强度、4~9月所占比例和高发时段等五项参数特征对应表见表</w:t>
      </w:r>
      <w:r>
        <w:rPr>
          <w:rFonts w:hint="eastAsia"/>
          <w:color w:val="000000"/>
          <w:sz w:val="28"/>
          <w:szCs w:val="21"/>
        </w:rPr>
        <w:t>8.3</w:t>
      </w:r>
      <w:r>
        <w:rPr>
          <w:color w:val="000000"/>
          <w:sz w:val="28"/>
          <w:szCs w:val="21"/>
        </w:rPr>
        <w:t>-1。</w:t>
      </w:r>
    </w:p>
    <w:p>
      <w:pPr>
        <w:keepNext/>
        <w:snapToGrid w:val="0"/>
        <w:spacing w:after="120" w:line="500" w:lineRule="exact"/>
        <w:ind w:firstLine="560"/>
        <w:jc w:val="center"/>
        <w:outlineLvl w:val="7"/>
        <w:rPr>
          <w:rFonts w:eastAsia="黑体"/>
          <w:color w:val="000000"/>
          <w:kern w:val="0"/>
          <w:sz w:val="24"/>
          <w:szCs w:val="21"/>
          <w:lang w:val="en-GB"/>
        </w:rPr>
      </w:pPr>
      <w:r>
        <w:rPr>
          <w:rFonts w:eastAsia="黑体"/>
          <w:color w:val="000000"/>
          <w:kern w:val="0"/>
          <w:sz w:val="24"/>
          <w:szCs w:val="21"/>
          <w:lang w:val="en-GB"/>
        </w:rPr>
        <w:t>表</w:t>
      </w:r>
      <w:r>
        <w:rPr>
          <w:rFonts w:hint="eastAsia" w:eastAsia="黑体"/>
          <w:color w:val="000000"/>
          <w:kern w:val="0"/>
          <w:sz w:val="24"/>
          <w:szCs w:val="21"/>
          <w:lang w:val="en-GB"/>
        </w:rPr>
        <w:t>8</w:t>
      </w:r>
      <w:r>
        <w:rPr>
          <w:rFonts w:eastAsia="黑体"/>
          <w:color w:val="000000"/>
          <w:kern w:val="0"/>
          <w:sz w:val="24"/>
          <w:szCs w:val="21"/>
          <w:lang w:val="en-GB"/>
        </w:rPr>
        <w:t>.</w:t>
      </w:r>
      <w:r>
        <w:rPr>
          <w:rFonts w:hint="eastAsia" w:eastAsia="黑体"/>
          <w:color w:val="000000"/>
          <w:kern w:val="0"/>
          <w:sz w:val="24"/>
          <w:szCs w:val="21"/>
          <w:lang w:val="en-GB"/>
        </w:rPr>
        <w:t>3</w:t>
      </w:r>
      <w:r>
        <w:rPr>
          <w:rFonts w:eastAsia="黑体"/>
          <w:color w:val="000000"/>
          <w:kern w:val="0"/>
          <w:sz w:val="24"/>
          <w:szCs w:val="21"/>
          <w:lang w:val="en-GB"/>
        </w:rPr>
        <w:t>-1</w:t>
      </w:r>
      <w:r>
        <w:rPr>
          <w:rFonts w:hint="eastAsia" w:eastAsia="黑体"/>
          <w:color w:val="000000"/>
          <w:kern w:val="0"/>
          <w:sz w:val="24"/>
          <w:szCs w:val="21"/>
          <w:lang w:val="en-GB"/>
        </w:rPr>
        <w:t xml:space="preserve"> </w:t>
      </w:r>
      <w:r>
        <w:rPr>
          <w:rFonts w:eastAsia="黑体"/>
          <w:color w:val="000000"/>
          <w:kern w:val="0"/>
          <w:sz w:val="24"/>
          <w:szCs w:val="21"/>
          <w:lang w:val="en-GB"/>
        </w:rPr>
        <w:t xml:space="preserve"> </w:t>
      </w:r>
      <w:r>
        <w:rPr>
          <w:rFonts w:hint="eastAsia" w:eastAsia="黑体"/>
          <w:color w:val="000000"/>
          <w:kern w:val="0"/>
          <w:sz w:val="24"/>
          <w:szCs w:val="21"/>
          <w:lang w:val="en-GB"/>
        </w:rPr>
        <w:t>清远高新区</w:t>
      </w:r>
      <w:r>
        <w:rPr>
          <w:rFonts w:eastAsia="黑体"/>
          <w:color w:val="000000"/>
          <w:kern w:val="0"/>
          <w:sz w:val="24"/>
          <w:szCs w:val="21"/>
          <w:lang w:val="en-GB"/>
        </w:rPr>
        <w:t>对应的参数特征表</w:t>
      </w:r>
    </w:p>
    <w:tbl>
      <w:tblPr>
        <w:tblStyle w:val="5"/>
        <w:tblW w:w="924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18"/>
        <w:gridCol w:w="1404"/>
        <w:gridCol w:w="1295"/>
        <w:gridCol w:w="1758"/>
        <w:gridCol w:w="1141"/>
        <w:gridCol w:w="19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718" w:type="dxa"/>
            <w:tcBorders>
              <w:bottom w:val="single" w:color="auto" w:sz="6" w:space="0"/>
            </w:tcBorders>
            <w:shd w:val="clear" w:color="auto" w:fill="auto"/>
            <w:vAlign w:val="center"/>
          </w:tcPr>
          <w:p>
            <w:pPr>
              <w:widowControl/>
              <w:spacing w:line="260" w:lineRule="exact"/>
              <w:jc w:val="center"/>
              <w:rPr>
                <w:rFonts w:eastAsia="黑体"/>
                <w:b/>
                <w:color w:val="000000"/>
                <w:szCs w:val="21"/>
              </w:rPr>
            </w:pPr>
            <w:r>
              <w:rPr>
                <w:rFonts w:eastAsia="黑体"/>
                <w:b/>
                <w:color w:val="000000"/>
                <w:szCs w:val="21"/>
              </w:rPr>
              <w:t>站点名</w:t>
            </w:r>
          </w:p>
        </w:tc>
        <w:tc>
          <w:tcPr>
            <w:tcW w:w="1404" w:type="dxa"/>
            <w:tcBorders>
              <w:bottom w:val="single" w:color="auto" w:sz="6" w:space="0"/>
            </w:tcBorders>
            <w:shd w:val="clear" w:color="auto" w:fill="auto"/>
            <w:vAlign w:val="center"/>
          </w:tcPr>
          <w:p>
            <w:pPr>
              <w:widowControl/>
              <w:spacing w:line="260" w:lineRule="exact"/>
              <w:jc w:val="center"/>
              <w:rPr>
                <w:rFonts w:eastAsia="黑体"/>
                <w:b/>
                <w:color w:val="000000"/>
                <w:szCs w:val="21"/>
              </w:rPr>
            </w:pPr>
            <w:r>
              <w:rPr>
                <w:rFonts w:eastAsia="黑体"/>
                <w:b/>
                <w:color w:val="000000"/>
                <w:szCs w:val="21"/>
              </w:rPr>
              <w:t>平均</w:t>
            </w:r>
          </w:p>
          <w:p>
            <w:pPr>
              <w:widowControl/>
              <w:spacing w:line="260" w:lineRule="exact"/>
              <w:jc w:val="center"/>
              <w:rPr>
                <w:rFonts w:eastAsia="黑体"/>
                <w:b/>
                <w:color w:val="000000"/>
                <w:szCs w:val="21"/>
              </w:rPr>
            </w:pPr>
            <w:r>
              <w:rPr>
                <w:rFonts w:eastAsia="黑体"/>
                <w:b/>
                <w:color w:val="000000"/>
                <w:szCs w:val="21"/>
              </w:rPr>
              <w:t>地闪密度值</w:t>
            </w:r>
          </w:p>
          <w:p>
            <w:pPr>
              <w:widowControl/>
              <w:spacing w:line="260" w:lineRule="exact"/>
              <w:jc w:val="center"/>
              <w:rPr>
                <w:rFonts w:eastAsia="黑体"/>
                <w:b/>
                <w:color w:val="000000"/>
                <w:szCs w:val="21"/>
              </w:rPr>
            </w:pPr>
            <w:bookmarkStart w:id="33" w:name="OLE_LINK22"/>
            <w:bookmarkStart w:id="34" w:name="OLE_LINK23"/>
            <w:bookmarkStart w:id="35" w:name="OLE_LINK24"/>
            <w:r>
              <w:rPr>
                <w:rFonts w:eastAsia="黑体"/>
                <w:b/>
                <w:color w:val="000000"/>
                <w:szCs w:val="21"/>
              </w:rPr>
              <w:t>(</w:t>
            </w:r>
            <w:bookmarkEnd w:id="33"/>
            <w:bookmarkEnd w:id="34"/>
            <w:bookmarkEnd w:id="35"/>
            <w:r>
              <w:rPr>
                <w:rFonts w:eastAsia="黑体"/>
                <w:b/>
                <w:color w:val="000000"/>
                <w:szCs w:val="21"/>
              </w:rPr>
              <w:t>次/(km</w:t>
            </w:r>
            <w:r>
              <w:rPr>
                <w:rFonts w:eastAsia="黑体"/>
                <w:b/>
                <w:color w:val="000000"/>
                <w:szCs w:val="21"/>
                <w:vertAlign w:val="superscript"/>
              </w:rPr>
              <w:t>2</w:t>
            </w:r>
            <w:r>
              <w:rPr>
                <w:rFonts w:eastAsia="黑体"/>
                <w:b/>
                <w:color w:val="000000"/>
                <w:szCs w:val="21"/>
              </w:rPr>
              <w:t>·a</w:t>
            </w:r>
            <w:bookmarkStart w:id="36" w:name="OLE_LINK26"/>
            <w:bookmarkStart w:id="37" w:name="OLE_LINK25"/>
            <w:bookmarkStart w:id="38" w:name="OLE_LINK27"/>
            <w:r>
              <w:rPr>
                <w:rFonts w:eastAsia="黑体"/>
                <w:b/>
                <w:color w:val="000000"/>
                <w:szCs w:val="21"/>
              </w:rPr>
              <w:t>)</w:t>
            </w:r>
            <w:bookmarkEnd w:id="36"/>
            <w:bookmarkEnd w:id="37"/>
            <w:bookmarkEnd w:id="38"/>
            <w:r>
              <w:rPr>
                <w:rFonts w:eastAsia="黑体"/>
                <w:b/>
                <w:color w:val="000000"/>
                <w:szCs w:val="21"/>
              </w:rPr>
              <w:t xml:space="preserve"> )</w:t>
            </w:r>
          </w:p>
        </w:tc>
        <w:tc>
          <w:tcPr>
            <w:tcW w:w="1295" w:type="dxa"/>
            <w:tcBorders>
              <w:bottom w:val="single" w:color="auto" w:sz="6" w:space="0"/>
            </w:tcBorders>
            <w:shd w:val="clear" w:color="auto" w:fill="auto"/>
            <w:vAlign w:val="center"/>
          </w:tcPr>
          <w:p>
            <w:pPr>
              <w:widowControl/>
              <w:spacing w:line="260" w:lineRule="exact"/>
              <w:jc w:val="center"/>
              <w:rPr>
                <w:rFonts w:eastAsia="黑体"/>
                <w:b/>
                <w:color w:val="000000"/>
                <w:szCs w:val="21"/>
              </w:rPr>
            </w:pPr>
            <w:r>
              <w:rPr>
                <w:rFonts w:eastAsia="黑体"/>
                <w:b/>
                <w:color w:val="000000"/>
                <w:szCs w:val="21"/>
              </w:rPr>
              <w:t>平均电流</w:t>
            </w:r>
          </w:p>
          <w:p>
            <w:pPr>
              <w:widowControl/>
              <w:spacing w:line="260" w:lineRule="exact"/>
              <w:jc w:val="center"/>
              <w:rPr>
                <w:rFonts w:eastAsia="黑体"/>
                <w:b/>
                <w:color w:val="000000"/>
                <w:szCs w:val="21"/>
              </w:rPr>
            </w:pPr>
            <w:r>
              <w:rPr>
                <w:rFonts w:eastAsia="黑体"/>
                <w:b/>
                <w:color w:val="000000"/>
                <w:szCs w:val="21"/>
              </w:rPr>
              <w:t>强度(kA)</w:t>
            </w:r>
          </w:p>
        </w:tc>
        <w:tc>
          <w:tcPr>
            <w:tcW w:w="1758" w:type="dxa"/>
            <w:tcBorders>
              <w:bottom w:val="single" w:color="auto" w:sz="6" w:space="0"/>
            </w:tcBorders>
            <w:shd w:val="clear" w:color="auto" w:fill="auto"/>
            <w:vAlign w:val="center"/>
          </w:tcPr>
          <w:p>
            <w:pPr>
              <w:widowControl/>
              <w:spacing w:line="260" w:lineRule="exact"/>
              <w:jc w:val="center"/>
              <w:rPr>
                <w:rFonts w:eastAsia="黑体"/>
                <w:b/>
                <w:color w:val="000000"/>
                <w:szCs w:val="21"/>
              </w:rPr>
            </w:pPr>
            <w:r>
              <w:rPr>
                <w:rFonts w:eastAsia="黑体"/>
                <w:b/>
                <w:color w:val="000000"/>
                <w:szCs w:val="21"/>
              </w:rPr>
              <w:t>50％概率所对应的雷电流强度(kA)</w:t>
            </w:r>
          </w:p>
        </w:tc>
        <w:tc>
          <w:tcPr>
            <w:tcW w:w="1141" w:type="dxa"/>
            <w:tcBorders>
              <w:bottom w:val="single" w:color="auto" w:sz="6" w:space="0"/>
            </w:tcBorders>
            <w:shd w:val="clear" w:color="auto" w:fill="auto"/>
            <w:vAlign w:val="center"/>
          </w:tcPr>
          <w:p>
            <w:pPr>
              <w:widowControl/>
              <w:spacing w:line="260" w:lineRule="exact"/>
              <w:jc w:val="center"/>
              <w:rPr>
                <w:rFonts w:eastAsia="黑体"/>
                <w:b/>
                <w:color w:val="000000"/>
                <w:szCs w:val="21"/>
              </w:rPr>
            </w:pPr>
            <w:r>
              <w:rPr>
                <w:rFonts w:eastAsia="黑体"/>
                <w:b/>
                <w:color w:val="000000"/>
                <w:szCs w:val="21"/>
              </w:rPr>
              <w:t>4-9月</w:t>
            </w:r>
          </w:p>
          <w:p>
            <w:pPr>
              <w:widowControl/>
              <w:spacing w:line="260" w:lineRule="exact"/>
              <w:jc w:val="center"/>
              <w:rPr>
                <w:rFonts w:eastAsia="黑体"/>
                <w:b/>
                <w:color w:val="000000"/>
                <w:szCs w:val="21"/>
              </w:rPr>
            </w:pPr>
            <w:r>
              <w:rPr>
                <w:rFonts w:eastAsia="黑体"/>
                <w:b/>
                <w:color w:val="000000"/>
                <w:szCs w:val="21"/>
              </w:rPr>
              <w:t>所占比例</w:t>
            </w:r>
          </w:p>
        </w:tc>
        <w:tc>
          <w:tcPr>
            <w:tcW w:w="1926" w:type="dxa"/>
            <w:tcBorders>
              <w:bottom w:val="single" w:color="auto" w:sz="6" w:space="0"/>
            </w:tcBorders>
            <w:shd w:val="clear" w:color="auto" w:fill="auto"/>
            <w:vAlign w:val="center"/>
          </w:tcPr>
          <w:p>
            <w:pPr>
              <w:widowControl/>
              <w:spacing w:line="260" w:lineRule="exact"/>
              <w:jc w:val="center"/>
              <w:rPr>
                <w:rFonts w:eastAsia="黑体"/>
                <w:b/>
                <w:color w:val="000000"/>
                <w:szCs w:val="21"/>
              </w:rPr>
            </w:pPr>
            <w:r>
              <w:rPr>
                <w:rFonts w:eastAsia="黑体"/>
                <w:b/>
                <w:color w:val="000000"/>
                <w:szCs w:val="21"/>
              </w:rPr>
              <w:t>雷电多发时段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18" w:type="dxa"/>
            <w:shd w:val="clear" w:color="auto" w:fill="auto"/>
            <w:vAlign w:val="center"/>
          </w:tcPr>
          <w:p>
            <w:pPr>
              <w:jc w:val="center"/>
              <w:rPr>
                <w:szCs w:val="21"/>
              </w:rPr>
            </w:pPr>
            <w:r>
              <w:rPr>
                <w:rFonts w:hint="eastAsia"/>
                <w:szCs w:val="21"/>
              </w:rPr>
              <w:t>百嘉科技园</w:t>
            </w:r>
          </w:p>
        </w:tc>
        <w:tc>
          <w:tcPr>
            <w:tcW w:w="1404" w:type="dxa"/>
            <w:shd w:val="clear" w:color="auto" w:fill="auto"/>
            <w:vAlign w:val="center"/>
          </w:tcPr>
          <w:p>
            <w:pPr>
              <w:jc w:val="center"/>
              <w:rPr>
                <w:color w:val="000000"/>
                <w:szCs w:val="21"/>
              </w:rPr>
            </w:pPr>
            <w:r>
              <w:rPr>
                <w:color w:val="000000"/>
                <w:szCs w:val="21"/>
              </w:rPr>
              <w:t>36.419</w:t>
            </w:r>
          </w:p>
        </w:tc>
        <w:tc>
          <w:tcPr>
            <w:tcW w:w="1295" w:type="dxa"/>
            <w:shd w:val="clear" w:color="auto" w:fill="auto"/>
            <w:vAlign w:val="center"/>
          </w:tcPr>
          <w:p>
            <w:pPr>
              <w:widowControl/>
              <w:jc w:val="center"/>
              <w:rPr>
                <w:rFonts w:eastAsia="黑体"/>
                <w:color w:val="000000"/>
                <w:szCs w:val="21"/>
              </w:rPr>
            </w:pPr>
            <w:r>
              <w:rPr>
                <w:rFonts w:eastAsia="黑体"/>
                <w:color w:val="000000"/>
                <w:szCs w:val="21"/>
              </w:rPr>
              <w:t>25.1</w:t>
            </w:r>
          </w:p>
        </w:tc>
        <w:tc>
          <w:tcPr>
            <w:tcW w:w="1758" w:type="dxa"/>
            <w:shd w:val="clear" w:color="auto" w:fill="auto"/>
            <w:vAlign w:val="center"/>
          </w:tcPr>
          <w:p>
            <w:pPr>
              <w:jc w:val="center"/>
              <w:rPr>
                <w:szCs w:val="21"/>
              </w:rPr>
            </w:pPr>
            <w:r>
              <w:rPr>
                <w:rFonts w:hint="eastAsia"/>
                <w:szCs w:val="21"/>
              </w:rPr>
              <w:t>19.7</w:t>
            </w:r>
          </w:p>
        </w:tc>
        <w:tc>
          <w:tcPr>
            <w:tcW w:w="1141" w:type="dxa"/>
            <w:shd w:val="clear" w:color="auto" w:fill="auto"/>
            <w:vAlign w:val="center"/>
          </w:tcPr>
          <w:p>
            <w:pPr>
              <w:widowControl/>
              <w:jc w:val="center"/>
              <w:rPr>
                <w:szCs w:val="21"/>
              </w:rPr>
            </w:pPr>
            <w:r>
              <w:rPr>
                <w:szCs w:val="21"/>
              </w:rPr>
              <w:t>97.15%</w:t>
            </w:r>
          </w:p>
        </w:tc>
        <w:tc>
          <w:tcPr>
            <w:tcW w:w="1926" w:type="dxa"/>
            <w:shd w:val="clear" w:color="auto" w:fill="auto"/>
            <w:vAlign w:val="center"/>
          </w:tcPr>
          <w:p>
            <w:pPr>
              <w:widowControl/>
              <w:jc w:val="center"/>
              <w:rPr>
                <w:szCs w:val="21"/>
              </w:rPr>
            </w:pPr>
            <w:r>
              <w:rPr>
                <w:rFonts w:hint="eastAsia"/>
                <w:szCs w:val="21"/>
              </w:rPr>
              <w:t>13时至20时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18" w:type="dxa"/>
            <w:shd w:val="clear" w:color="auto" w:fill="auto"/>
            <w:vAlign w:val="center"/>
          </w:tcPr>
          <w:p>
            <w:pPr>
              <w:jc w:val="center"/>
              <w:rPr>
                <w:szCs w:val="21"/>
              </w:rPr>
            </w:pPr>
            <w:r>
              <w:rPr>
                <w:rFonts w:hint="eastAsia"/>
                <w:szCs w:val="21"/>
              </w:rPr>
              <w:t>银源工业小区</w:t>
            </w:r>
          </w:p>
        </w:tc>
        <w:tc>
          <w:tcPr>
            <w:tcW w:w="1404" w:type="dxa"/>
            <w:shd w:val="clear" w:color="auto" w:fill="auto"/>
            <w:vAlign w:val="center"/>
          </w:tcPr>
          <w:p>
            <w:pPr>
              <w:jc w:val="center"/>
              <w:rPr>
                <w:color w:val="000000"/>
                <w:szCs w:val="21"/>
              </w:rPr>
            </w:pPr>
            <w:r>
              <w:rPr>
                <w:color w:val="000000"/>
                <w:szCs w:val="21"/>
              </w:rPr>
              <w:t>35.387</w:t>
            </w:r>
          </w:p>
        </w:tc>
        <w:tc>
          <w:tcPr>
            <w:tcW w:w="1295" w:type="dxa"/>
            <w:shd w:val="clear" w:color="auto" w:fill="auto"/>
            <w:vAlign w:val="center"/>
          </w:tcPr>
          <w:p>
            <w:pPr>
              <w:jc w:val="center"/>
              <w:rPr>
                <w:color w:val="000000"/>
                <w:szCs w:val="21"/>
              </w:rPr>
            </w:pPr>
            <w:r>
              <w:rPr>
                <w:color w:val="000000"/>
                <w:szCs w:val="21"/>
              </w:rPr>
              <w:t>24.2</w:t>
            </w:r>
          </w:p>
        </w:tc>
        <w:tc>
          <w:tcPr>
            <w:tcW w:w="1758" w:type="dxa"/>
            <w:shd w:val="clear" w:color="auto" w:fill="auto"/>
            <w:vAlign w:val="center"/>
          </w:tcPr>
          <w:p>
            <w:pPr>
              <w:jc w:val="center"/>
              <w:rPr>
                <w:szCs w:val="21"/>
              </w:rPr>
            </w:pPr>
            <w:r>
              <w:rPr>
                <w:rFonts w:hint="eastAsia"/>
                <w:szCs w:val="21"/>
              </w:rPr>
              <w:t>18.9</w:t>
            </w:r>
          </w:p>
        </w:tc>
        <w:tc>
          <w:tcPr>
            <w:tcW w:w="1141" w:type="dxa"/>
            <w:shd w:val="clear" w:color="auto" w:fill="auto"/>
            <w:vAlign w:val="center"/>
          </w:tcPr>
          <w:p>
            <w:pPr>
              <w:widowControl/>
              <w:jc w:val="center"/>
              <w:rPr>
                <w:szCs w:val="21"/>
              </w:rPr>
            </w:pPr>
            <w:r>
              <w:rPr>
                <w:rFonts w:hint="eastAsia"/>
                <w:color w:val="000000"/>
                <w:szCs w:val="21"/>
              </w:rPr>
              <w:t>96.64%</w:t>
            </w:r>
          </w:p>
        </w:tc>
        <w:tc>
          <w:tcPr>
            <w:tcW w:w="1926" w:type="dxa"/>
            <w:shd w:val="clear" w:color="auto" w:fill="auto"/>
            <w:vAlign w:val="center"/>
          </w:tcPr>
          <w:p>
            <w:pPr>
              <w:widowControl/>
              <w:jc w:val="center"/>
              <w:rPr>
                <w:szCs w:val="21"/>
              </w:rPr>
            </w:pPr>
            <w:r>
              <w:rPr>
                <w:rFonts w:hint="eastAsia"/>
                <w:szCs w:val="21"/>
              </w:rPr>
              <w:t>13时至21时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18" w:type="dxa"/>
            <w:shd w:val="clear" w:color="auto" w:fill="auto"/>
            <w:vAlign w:val="center"/>
          </w:tcPr>
          <w:p>
            <w:pPr>
              <w:jc w:val="center"/>
              <w:rPr>
                <w:szCs w:val="21"/>
              </w:rPr>
            </w:pPr>
            <w:r>
              <w:rPr>
                <w:rFonts w:hint="eastAsia"/>
                <w:szCs w:val="21"/>
              </w:rPr>
              <w:t>莲湖产业园</w:t>
            </w:r>
          </w:p>
        </w:tc>
        <w:tc>
          <w:tcPr>
            <w:tcW w:w="1404" w:type="dxa"/>
            <w:shd w:val="clear" w:color="auto" w:fill="auto"/>
            <w:vAlign w:val="center"/>
          </w:tcPr>
          <w:p>
            <w:pPr>
              <w:jc w:val="center"/>
              <w:rPr>
                <w:color w:val="000000"/>
                <w:szCs w:val="21"/>
              </w:rPr>
            </w:pPr>
            <w:r>
              <w:rPr>
                <w:color w:val="000000"/>
                <w:szCs w:val="21"/>
              </w:rPr>
              <w:t>35.061</w:t>
            </w:r>
          </w:p>
        </w:tc>
        <w:tc>
          <w:tcPr>
            <w:tcW w:w="1295" w:type="dxa"/>
            <w:shd w:val="clear" w:color="auto" w:fill="auto"/>
            <w:vAlign w:val="center"/>
          </w:tcPr>
          <w:p>
            <w:pPr>
              <w:jc w:val="center"/>
              <w:rPr>
                <w:color w:val="000000"/>
                <w:szCs w:val="21"/>
              </w:rPr>
            </w:pPr>
            <w:r>
              <w:rPr>
                <w:color w:val="000000"/>
                <w:szCs w:val="21"/>
              </w:rPr>
              <w:t>23.8</w:t>
            </w:r>
          </w:p>
        </w:tc>
        <w:tc>
          <w:tcPr>
            <w:tcW w:w="1758" w:type="dxa"/>
            <w:shd w:val="clear" w:color="auto" w:fill="auto"/>
            <w:vAlign w:val="center"/>
          </w:tcPr>
          <w:p>
            <w:pPr>
              <w:jc w:val="center"/>
              <w:rPr>
                <w:szCs w:val="21"/>
              </w:rPr>
            </w:pPr>
            <w:r>
              <w:rPr>
                <w:rFonts w:hint="eastAsia"/>
                <w:szCs w:val="21"/>
              </w:rPr>
              <w:t>18.5</w:t>
            </w:r>
          </w:p>
        </w:tc>
        <w:tc>
          <w:tcPr>
            <w:tcW w:w="1141" w:type="dxa"/>
            <w:shd w:val="clear" w:color="auto" w:fill="auto"/>
            <w:vAlign w:val="center"/>
          </w:tcPr>
          <w:p>
            <w:pPr>
              <w:widowControl/>
              <w:jc w:val="center"/>
              <w:rPr>
                <w:szCs w:val="21"/>
              </w:rPr>
            </w:pPr>
            <w:r>
              <w:rPr>
                <w:rFonts w:hint="eastAsia"/>
                <w:color w:val="000000"/>
                <w:szCs w:val="21"/>
              </w:rPr>
              <w:t>96.54%</w:t>
            </w:r>
          </w:p>
        </w:tc>
        <w:tc>
          <w:tcPr>
            <w:tcW w:w="1926" w:type="dxa"/>
            <w:shd w:val="clear" w:color="auto" w:fill="auto"/>
            <w:vAlign w:val="center"/>
          </w:tcPr>
          <w:p>
            <w:pPr>
              <w:widowControl/>
              <w:spacing w:line="260" w:lineRule="exact"/>
              <w:jc w:val="center"/>
              <w:rPr>
                <w:szCs w:val="21"/>
              </w:rPr>
            </w:pPr>
            <w:r>
              <w:rPr>
                <w:rFonts w:hint="eastAsia"/>
                <w:szCs w:val="21"/>
              </w:rPr>
              <w:t>5时、13时至21时</w:t>
            </w:r>
          </w:p>
        </w:tc>
      </w:tr>
    </w:tbl>
    <w:p>
      <w:pPr>
        <w:keepNext/>
        <w:snapToGrid w:val="0"/>
        <w:spacing w:after="120" w:line="500" w:lineRule="exact"/>
        <w:jc w:val="left"/>
        <w:outlineLvl w:val="7"/>
        <w:rPr>
          <w:rFonts w:eastAsia="黑体"/>
          <w:color w:val="000000"/>
          <w:kern w:val="0"/>
          <w:sz w:val="24"/>
          <w:szCs w:val="21"/>
          <w:lang w:val="en-GB"/>
        </w:rPr>
      </w:pPr>
      <w:r>
        <w:rPr>
          <w:rFonts w:eastAsia="黑体"/>
          <w:color w:val="000000"/>
          <w:kern w:val="0"/>
          <w:sz w:val="24"/>
          <w:szCs w:val="21"/>
          <w:lang w:val="en-GB"/>
        </w:rPr>
        <w:t>续</w:t>
      </w:r>
      <w:r>
        <w:rPr>
          <w:rFonts w:hint="eastAsia" w:eastAsia="黑体"/>
          <w:color w:val="000000"/>
          <w:kern w:val="0"/>
          <w:sz w:val="24"/>
          <w:szCs w:val="21"/>
          <w:lang w:val="en-GB"/>
        </w:rPr>
        <w:t xml:space="preserve"> </w:t>
      </w:r>
      <w:r>
        <w:rPr>
          <w:rFonts w:eastAsia="黑体"/>
          <w:color w:val="000000"/>
          <w:kern w:val="0"/>
          <w:sz w:val="24"/>
          <w:szCs w:val="21"/>
          <w:lang w:val="en-GB"/>
        </w:rPr>
        <w:t>表</w:t>
      </w:r>
      <w:r>
        <w:rPr>
          <w:rFonts w:hint="eastAsia" w:eastAsia="黑体"/>
          <w:color w:val="000000"/>
          <w:kern w:val="0"/>
          <w:sz w:val="24"/>
          <w:szCs w:val="21"/>
          <w:lang w:val="en-GB"/>
        </w:rPr>
        <w:t>8</w:t>
      </w:r>
      <w:r>
        <w:rPr>
          <w:rFonts w:eastAsia="黑体"/>
          <w:color w:val="000000"/>
          <w:kern w:val="0"/>
          <w:sz w:val="24"/>
          <w:szCs w:val="21"/>
          <w:lang w:val="en-GB"/>
        </w:rPr>
        <w:t>.</w:t>
      </w:r>
      <w:r>
        <w:rPr>
          <w:rFonts w:hint="eastAsia" w:eastAsia="黑体"/>
          <w:color w:val="000000"/>
          <w:kern w:val="0"/>
          <w:sz w:val="24"/>
          <w:szCs w:val="21"/>
          <w:lang w:val="en-GB"/>
        </w:rPr>
        <w:t>3</w:t>
      </w:r>
      <w:r>
        <w:rPr>
          <w:rFonts w:eastAsia="黑体"/>
          <w:color w:val="000000"/>
          <w:kern w:val="0"/>
          <w:sz w:val="24"/>
          <w:szCs w:val="21"/>
          <w:lang w:val="en-GB"/>
        </w:rPr>
        <w:t xml:space="preserve">-1 </w:t>
      </w:r>
    </w:p>
    <w:tbl>
      <w:tblPr>
        <w:tblStyle w:val="5"/>
        <w:tblW w:w="924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18"/>
        <w:gridCol w:w="1404"/>
        <w:gridCol w:w="1295"/>
        <w:gridCol w:w="1758"/>
        <w:gridCol w:w="1141"/>
        <w:gridCol w:w="19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tblHeader/>
          <w:jc w:val="center"/>
        </w:trPr>
        <w:tc>
          <w:tcPr>
            <w:tcW w:w="1718" w:type="dxa"/>
            <w:tcBorders>
              <w:bottom w:val="single" w:color="auto" w:sz="6" w:space="0"/>
            </w:tcBorders>
            <w:shd w:val="clear" w:color="auto" w:fill="auto"/>
            <w:vAlign w:val="center"/>
          </w:tcPr>
          <w:p>
            <w:pPr>
              <w:widowControl/>
              <w:spacing w:line="260" w:lineRule="exact"/>
              <w:jc w:val="center"/>
              <w:rPr>
                <w:rFonts w:eastAsia="黑体"/>
                <w:b/>
                <w:color w:val="000000"/>
                <w:szCs w:val="21"/>
              </w:rPr>
            </w:pPr>
            <w:r>
              <w:rPr>
                <w:rFonts w:eastAsia="黑体"/>
                <w:b/>
                <w:color w:val="000000"/>
                <w:szCs w:val="21"/>
              </w:rPr>
              <w:t>站点名</w:t>
            </w:r>
          </w:p>
        </w:tc>
        <w:tc>
          <w:tcPr>
            <w:tcW w:w="1404" w:type="dxa"/>
            <w:tcBorders>
              <w:bottom w:val="single" w:color="auto" w:sz="6" w:space="0"/>
            </w:tcBorders>
            <w:shd w:val="clear" w:color="auto" w:fill="auto"/>
            <w:vAlign w:val="center"/>
          </w:tcPr>
          <w:p>
            <w:pPr>
              <w:widowControl/>
              <w:spacing w:line="260" w:lineRule="exact"/>
              <w:jc w:val="center"/>
              <w:rPr>
                <w:rFonts w:eastAsia="黑体"/>
                <w:b/>
                <w:color w:val="000000"/>
                <w:szCs w:val="21"/>
              </w:rPr>
            </w:pPr>
            <w:r>
              <w:rPr>
                <w:rFonts w:eastAsia="黑体"/>
                <w:b/>
                <w:color w:val="000000"/>
                <w:szCs w:val="21"/>
              </w:rPr>
              <w:t>平均</w:t>
            </w:r>
          </w:p>
          <w:p>
            <w:pPr>
              <w:widowControl/>
              <w:spacing w:line="260" w:lineRule="exact"/>
              <w:jc w:val="center"/>
              <w:rPr>
                <w:rFonts w:eastAsia="黑体"/>
                <w:b/>
                <w:color w:val="000000"/>
                <w:szCs w:val="21"/>
              </w:rPr>
            </w:pPr>
            <w:r>
              <w:rPr>
                <w:rFonts w:eastAsia="黑体"/>
                <w:b/>
                <w:color w:val="000000"/>
                <w:szCs w:val="21"/>
              </w:rPr>
              <w:t>地闪密度值</w:t>
            </w:r>
          </w:p>
          <w:p>
            <w:pPr>
              <w:widowControl/>
              <w:spacing w:line="260" w:lineRule="exact"/>
              <w:jc w:val="center"/>
              <w:rPr>
                <w:rFonts w:eastAsia="黑体"/>
                <w:b/>
                <w:color w:val="000000"/>
                <w:szCs w:val="21"/>
              </w:rPr>
            </w:pPr>
            <w:r>
              <w:rPr>
                <w:rFonts w:eastAsia="黑体"/>
                <w:b/>
                <w:color w:val="000000"/>
                <w:szCs w:val="21"/>
              </w:rPr>
              <w:t>(次/(km</w:t>
            </w:r>
            <w:r>
              <w:rPr>
                <w:rFonts w:eastAsia="黑体"/>
                <w:b/>
                <w:color w:val="000000"/>
                <w:szCs w:val="21"/>
                <w:vertAlign w:val="superscript"/>
              </w:rPr>
              <w:t>2</w:t>
            </w:r>
            <w:r>
              <w:rPr>
                <w:rFonts w:eastAsia="黑体"/>
                <w:b/>
                <w:color w:val="000000"/>
                <w:szCs w:val="21"/>
              </w:rPr>
              <w:t>·a) )</w:t>
            </w:r>
          </w:p>
        </w:tc>
        <w:tc>
          <w:tcPr>
            <w:tcW w:w="1295" w:type="dxa"/>
            <w:tcBorders>
              <w:bottom w:val="single" w:color="auto" w:sz="6" w:space="0"/>
            </w:tcBorders>
            <w:shd w:val="clear" w:color="auto" w:fill="auto"/>
            <w:vAlign w:val="center"/>
          </w:tcPr>
          <w:p>
            <w:pPr>
              <w:widowControl/>
              <w:spacing w:line="260" w:lineRule="exact"/>
              <w:jc w:val="center"/>
              <w:rPr>
                <w:rFonts w:eastAsia="黑体"/>
                <w:b/>
                <w:color w:val="000000"/>
                <w:szCs w:val="21"/>
              </w:rPr>
            </w:pPr>
            <w:r>
              <w:rPr>
                <w:rFonts w:eastAsia="黑体"/>
                <w:b/>
                <w:color w:val="000000"/>
                <w:szCs w:val="21"/>
              </w:rPr>
              <w:t>平均电流</w:t>
            </w:r>
          </w:p>
          <w:p>
            <w:pPr>
              <w:widowControl/>
              <w:spacing w:line="260" w:lineRule="exact"/>
              <w:jc w:val="center"/>
              <w:rPr>
                <w:rFonts w:eastAsia="黑体"/>
                <w:b/>
                <w:color w:val="000000"/>
                <w:szCs w:val="21"/>
              </w:rPr>
            </w:pPr>
            <w:r>
              <w:rPr>
                <w:rFonts w:eastAsia="黑体"/>
                <w:b/>
                <w:color w:val="000000"/>
                <w:szCs w:val="21"/>
              </w:rPr>
              <w:t>强度(kA)</w:t>
            </w:r>
          </w:p>
        </w:tc>
        <w:tc>
          <w:tcPr>
            <w:tcW w:w="1758" w:type="dxa"/>
            <w:tcBorders>
              <w:bottom w:val="single" w:color="auto" w:sz="6" w:space="0"/>
            </w:tcBorders>
            <w:shd w:val="clear" w:color="auto" w:fill="auto"/>
            <w:vAlign w:val="center"/>
          </w:tcPr>
          <w:p>
            <w:pPr>
              <w:widowControl/>
              <w:spacing w:line="260" w:lineRule="exact"/>
              <w:jc w:val="center"/>
              <w:rPr>
                <w:rFonts w:eastAsia="黑体"/>
                <w:b/>
                <w:color w:val="000000"/>
                <w:szCs w:val="21"/>
              </w:rPr>
            </w:pPr>
            <w:r>
              <w:rPr>
                <w:rFonts w:eastAsia="黑体"/>
                <w:b/>
                <w:color w:val="000000"/>
                <w:szCs w:val="21"/>
              </w:rPr>
              <w:t>50％概率所对应的雷电流强度(kA)</w:t>
            </w:r>
          </w:p>
        </w:tc>
        <w:tc>
          <w:tcPr>
            <w:tcW w:w="1141" w:type="dxa"/>
            <w:tcBorders>
              <w:bottom w:val="single" w:color="auto" w:sz="6" w:space="0"/>
            </w:tcBorders>
            <w:shd w:val="clear" w:color="auto" w:fill="auto"/>
            <w:vAlign w:val="center"/>
          </w:tcPr>
          <w:p>
            <w:pPr>
              <w:widowControl/>
              <w:spacing w:line="260" w:lineRule="exact"/>
              <w:jc w:val="center"/>
              <w:rPr>
                <w:rFonts w:eastAsia="黑体"/>
                <w:b/>
                <w:color w:val="000000"/>
                <w:szCs w:val="21"/>
              </w:rPr>
            </w:pPr>
            <w:r>
              <w:rPr>
                <w:rFonts w:eastAsia="黑体"/>
                <w:b/>
                <w:color w:val="000000"/>
                <w:szCs w:val="21"/>
              </w:rPr>
              <w:t>4-9月</w:t>
            </w:r>
          </w:p>
          <w:p>
            <w:pPr>
              <w:widowControl/>
              <w:spacing w:line="260" w:lineRule="exact"/>
              <w:jc w:val="center"/>
              <w:rPr>
                <w:rFonts w:eastAsia="黑体"/>
                <w:b/>
                <w:color w:val="000000"/>
                <w:szCs w:val="21"/>
              </w:rPr>
            </w:pPr>
            <w:r>
              <w:rPr>
                <w:rFonts w:eastAsia="黑体"/>
                <w:b/>
                <w:color w:val="000000"/>
                <w:szCs w:val="21"/>
              </w:rPr>
              <w:t>所占比例</w:t>
            </w:r>
          </w:p>
        </w:tc>
        <w:tc>
          <w:tcPr>
            <w:tcW w:w="1926" w:type="dxa"/>
            <w:tcBorders>
              <w:bottom w:val="single" w:color="auto" w:sz="6" w:space="0"/>
            </w:tcBorders>
            <w:shd w:val="clear" w:color="auto" w:fill="auto"/>
            <w:vAlign w:val="center"/>
          </w:tcPr>
          <w:p>
            <w:pPr>
              <w:widowControl/>
              <w:spacing w:line="260" w:lineRule="exact"/>
              <w:jc w:val="center"/>
              <w:rPr>
                <w:rFonts w:eastAsia="黑体"/>
                <w:b/>
                <w:color w:val="000000"/>
                <w:szCs w:val="21"/>
              </w:rPr>
            </w:pPr>
            <w:r>
              <w:rPr>
                <w:rFonts w:eastAsia="黑体"/>
                <w:b/>
                <w:color w:val="000000"/>
                <w:szCs w:val="21"/>
              </w:rPr>
              <w:t>雷电多发时段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18" w:type="dxa"/>
            <w:shd w:val="clear" w:color="auto" w:fill="auto"/>
            <w:vAlign w:val="center"/>
          </w:tcPr>
          <w:p>
            <w:pPr>
              <w:jc w:val="center"/>
              <w:rPr>
                <w:szCs w:val="21"/>
              </w:rPr>
            </w:pPr>
            <w:r>
              <w:rPr>
                <w:rFonts w:hint="eastAsia"/>
                <w:szCs w:val="21"/>
              </w:rPr>
              <w:t>光电产业园</w:t>
            </w:r>
          </w:p>
        </w:tc>
        <w:tc>
          <w:tcPr>
            <w:tcW w:w="1404" w:type="dxa"/>
            <w:shd w:val="clear" w:color="auto" w:fill="auto"/>
            <w:vAlign w:val="center"/>
          </w:tcPr>
          <w:p>
            <w:pPr>
              <w:jc w:val="center"/>
              <w:rPr>
                <w:color w:val="000000"/>
                <w:szCs w:val="21"/>
              </w:rPr>
            </w:pPr>
            <w:r>
              <w:rPr>
                <w:color w:val="000000"/>
                <w:szCs w:val="21"/>
              </w:rPr>
              <w:t>36.931</w:t>
            </w:r>
          </w:p>
        </w:tc>
        <w:tc>
          <w:tcPr>
            <w:tcW w:w="1295" w:type="dxa"/>
            <w:shd w:val="clear" w:color="auto" w:fill="auto"/>
            <w:vAlign w:val="center"/>
          </w:tcPr>
          <w:p>
            <w:pPr>
              <w:jc w:val="center"/>
              <w:rPr>
                <w:color w:val="000000"/>
                <w:szCs w:val="21"/>
              </w:rPr>
            </w:pPr>
            <w:r>
              <w:rPr>
                <w:color w:val="000000"/>
                <w:szCs w:val="21"/>
              </w:rPr>
              <w:t>24.4</w:t>
            </w:r>
          </w:p>
        </w:tc>
        <w:tc>
          <w:tcPr>
            <w:tcW w:w="1758" w:type="dxa"/>
            <w:shd w:val="clear" w:color="auto" w:fill="auto"/>
            <w:vAlign w:val="center"/>
          </w:tcPr>
          <w:p>
            <w:pPr>
              <w:jc w:val="center"/>
              <w:rPr>
                <w:szCs w:val="21"/>
              </w:rPr>
            </w:pPr>
            <w:r>
              <w:rPr>
                <w:rFonts w:hint="eastAsia"/>
                <w:szCs w:val="21"/>
              </w:rPr>
              <w:t>19</w:t>
            </w:r>
          </w:p>
        </w:tc>
        <w:tc>
          <w:tcPr>
            <w:tcW w:w="1141" w:type="dxa"/>
            <w:shd w:val="clear" w:color="auto" w:fill="auto"/>
            <w:vAlign w:val="center"/>
          </w:tcPr>
          <w:p>
            <w:pPr>
              <w:widowControl/>
              <w:jc w:val="center"/>
              <w:rPr>
                <w:szCs w:val="21"/>
              </w:rPr>
            </w:pPr>
            <w:r>
              <w:rPr>
                <w:rFonts w:hint="eastAsia"/>
                <w:color w:val="000000"/>
                <w:szCs w:val="21"/>
              </w:rPr>
              <w:t>96.51%</w:t>
            </w:r>
          </w:p>
        </w:tc>
        <w:tc>
          <w:tcPr>
            <w:tcW w:w="1926" w:type="dxa"/>
            <w:shd w:val="clear" w:color="auto" w:fill="auto"/>
            <w:vAlign w:val="center"/>
          </w:tcPr>
          <w:p>
            <w:pPr>
              <w:widowControl/>
              <w:jc w:val="center"/>
              <w:rPr>
                <w:szCs w:val="21"/>
              </w:rPr>
            </w:pPr>
            <w:r>
              <w:rPr>
                <w:rFonts w:hint="eastAsia"/>
                <w:szCs w:val="21"/>
              </w:rPr>
              <w:t>13时至20时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18" w:type="dxa"/>
            <w:shd w:val="clear" w:color="auto" w:fill="auto"/>
            <w:vAlign w:val="center"/>
          </w:tcPr>
          <w:p>
            <w:pPr>
              <w:jc w:val="center"/>
              <w:rPr>
                <w:szCs w:val="21"/>
              </w:rPr>
            </w:pPr>
            <w:r>
              <w:rPr>
                <w:rFonts w:hint="eastAsia"/>
                <w:szCs w:val="21"/>
              </w:rPr>
              <w:t>雄兴工业园</w:t>
            </w:r>
          </w:p>
        </w:tc>
        <w:tc>
          <w:tcPr>
            <w:tcW w:w="1404" w:type="dxa"/>
            <w:shd w:val="clear" w:color="auto" w:fill="auto"/>
            <w:vAlign w:val="center"/>
          </w:tcPr>
          <w:p>
            <w:pPr>
              <w:jc w:val="center"/>
              <w:rPr>
                <w:color w:val="000000"/>
                <w:szCs w:val="21"/>
              </w:rPr>
            </w:pPr>
            <w:r>
              <w:rPr>
                <w:color w:val="000000"/>
                <w:szCs w:val="21"/>
              </w:rPr>
              <w:t>35.084</w:t>
            </w:r>
          </w:p>
        </w:tc>
        <w:tc>
          <w:tcPr>
            <w:tcW w:w="1295" w:type="dxa"/>
            <w:shd w:val="clear" w:color="auto" w:fill="auto"/>
            <w:vAlign w:val="center"/>
          </w:tcPr>
          <w:p>
            <w:pPr>
              <w:jc w:val="center"/>
              <w:rPr>
                <w:color w:val="000000"/>
                <w:szCs w:val="21"/>
              </w:rPr>
            </w:pPr>
            <w:r>
              <w:rPr>
                <w:color w:val="000000"/>
                <w:szCs w:val="21"/>
              </w:rPr>
              <w:t>24.0</w:t>
            </w:r>
          </w:p>
        </w:tc>
        <w:tc>
          <w:tcPr>
            <w:tcW w:w="1758" w:type="dxa"/>
            <w:shd w:val="clear" w:color="auto" w:fill="auto"/>
            <w:vAlign w:val="center"/>
          </w:tcPr>
          <w:p>
            <w:pPr>
              <w:jc w:val="center"/>
              <w:rPr>
                <w:szCs w:val="21"/>
              </w:rPr>
            </w:pPr>
            <w:r>
              <w:rPr>
                <w:rFonts w:hint="eastAsia"/>
                <w:szCs w:val="21"/>
              </w:rPr>
              <w:t>18.6</w:t>
            </w:r>
          </w:p>
        </w:tc>
        <w:tc>
          <w:tcPr>
            <w:tcW w:w="1141" w:type="dxa"/>
            <w:shd w:val="clear" w:color="auto" w:fill="auto"/>
            <w:vAlign w:val="center"/>
          </w:tcPr>
          <w:p>
            <w:pPr>
              <w:widowControl/>
              <w:jc w:val="center"/>
              <w:rPr>
                <w:szCs w:val="21"/>
              </w:rPr>
            </w:pPr>
            <w:r>
              <w:rPr>
                <w:rFonts w:hint="eastAsia"/>
                <w:color w:val="000000"/>
                <w:szCs w:val="21"/>
              </w:rPr>
              <w:t>96.04%</w:t>
            </w:r>
          </w:p>
        </w:tc>
        <w:tc>
          <w:tcPr>
            <w:tcW w:w="1926" w:type="dxa"/>
            <w:shd w:val="clear" w:color="auto" w:fill="auto"/>
            <w:vAlign w:val="center"/>
          </w:tcPr>
          <w:p>
            <w:pPr>
              <w:widowControl/>
              <w:jc w:val="center"/>
              <w:rPr>
                <w:szCs w:val="21"/>
              </w:rPr>
            </w:pPr>
            <w:r>
              <w:rPr>
                <w:rFonts w:hint="eastAsia"/>
                <w:szCs w:val="21"/>
              </w:rPr>
              <w:t>13时至20时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18" w:type="dxa"/>
            <w:shd w:val="clear" w:color="auto" w:fill="auto"/>
            <w:vAlign w:val="center"/>
          </w:tcPr>
          <w:p>
            <w:pPr>
              <w:jc w:val="center"/>
              <w:rPr>
                <w:szCs w:val="21"/>
              </w:rPr>
            </w:pPr>
            <w:r>
              <w:rPr>
                <w:rFonts w:hint="eastAsia"/>
                <w:szCs w:val="21"/>
              </w:rPr>
              <w:t>嘉福工业园</w:t>
            </w:r>
          </w:p>
        </w:tc>
        <w:tc>
          <w:tcPr>
            <w:tcW w:w="1404" w:type="dxa"/>
            <w:shd w:val="clear" w:color="auto" w:fill="auto"/>
            <w:vAlign w:val="center"/>
          </w:tcPr>
          <w:p>
            <w:pPr>
              <w:jc w:val="center"/>
              <w:rPr>
                <w:color w:val="000000"/>
                <w:szCs w:val="21"/>
              </w:rPr>
            </w:pPr>
            <w:r>
              <w:rPr>
                <w:color w:val="000000"/>
                <w:szCs w:val="21"/>
              </w:rPr>
              <w:t>35.185</w:t>
            </w:r>
          </w:p>
        </w:tc>
        <w:tc>
          <w:tcPr>
            <w:tcW w:w="1295" w:type="dxa"/>
            <w:shd w:val="clear" w:color="auto" w:fill="auto"/>
            <w:vAlign w:val="center"/>
          </w:tcPr>
          <w:p>
            <w:pPr>
              <w:jc w:val="center"/>
              <w:rPr>
                <w:color w:val="000000"/>
                <w:szCs w:val="21"/>
              </w:rPr>
            </w:pPr>
            <w:r>
              <w:rPr>
                <w:color w:val="000000"/>
                <w:szCs w:val="21"/>
              </w:rPr>
              <w:t>24.4</w:t>
            </w:r>
          </w:p>
        </w:tc>
        <w:tc>
          <w:tcPr>
            <w:tcW w:w="1758" w:type="dxa"/>
            <w:shd w:val="clear" w:color="auto" w:fill="auto"/>
            <w:vAlign w:val="center"/>
          </w:tcPr>
          <w:p>
            <w:pPr>
              <w:jc w:val="center"/>
              <w:rPr>
                <w:szCs w:val="21"/>
              </w:rPr>
            </w:pPr>
            <w:r>
              <w:rPr>
                <w:rFonts w:hint="eastAsia"/>
                <w:szCs w:val="21"/>
              </w:rPr>
              <w:t>18.3</w:t>
            </w:r>
          </w:p>
        </w:tc>
        <w:tc>
          <w:tcPr>
            <w:tcW w:w="1141" w:type="dxa"/>
            <w:shd w:val="clear" w:color="auto" w:fill="auto"/>
            <w:vAlign w:val="center"/>
          </w:tcPr>
          <w:p>
            <w:pPr>
              <w:widowControl/>
              <w:jc w:val="center"/>
              <w:rPr>
                <w:szCs w:val="21"/>
              </w:rPr>
            </w:pPr>
            <w:r>
              <w:rPr>
                <w:rFonts w:hint="eastAsia"/>
                <w:color w:val="000000"/>
                <w:szCs w:val="21"/>
              </w:rPr>
              <w:t>95.15%</w:t>
            </w:r>
          </w:p>
        </w:tc>
        <w:tc>
          <w:tcPr>
            <w:tcW w:w="1926" w:type="dxa"/>
            <w:shd w:val="clear" w:color="auto" w:fill="auto"/>
            <w:vAlign w:val="center"/>
          </w:tcPr>
          <w:p>
            <w:pPr>
              <w:widowControl/>
              <w:jc w:val="center"/>
              <w:rPr>
                <w:szCs w:val="21"/>
              </w:rPr>
            </w:pPr>
            <w:r>
              <w:rPr>
                <w:rFonts w:hint="eastAsia"/>
                <w:szCs w:val="21"/>
              </w:rPr>
              <w:t>13时至20时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18" w:type="dxa"/>
            <w:shd w:val="clear" w:color="auto" w:fill="auto"/>
            <w:vAlign w:val="center"/>
          </w:tcPr>
          <w:p>
            <w:pPr>
              <w:jc w:val="center"/>
              <w:rPr>
                <w:szCs w:val="21"/>
              </w:rPr>
            </w:pPr>
            <w:r>
              <w:rPr>
                <w:rFonts w:hint="eastAsia"/>
                <w:szCs w:val="21"/>
              </w:rPr>
              <w:t>泰基工业园</w:t>
            </w:r>
          </w:p>
        </w:tc>
        <w:tc>
          <w:tcPr>
            <w:tcW w:w="1404" w:type="dxa"/>
            <w:shd w:val="clear" w:color="auto" w:fill="auto"/>
            <w:vAlign w:val="center"/>
          </w:tcPr>
          <w:p>
            <w:pPr>
              <w:jc w:val="center"/>
              <w:rPr>
                <w:color w:val="000000"/>
                <w:szCs w:val="21"/>
              </w:rPr>
            </w:pPr>
            <w:r>
              <w:rPr>
                <w:color w:val="000000"/>
                <w:szCs w:val="21"/>
              </w:rPr>
              <w:t>35.063</w:t>
            </w:r>
          </w:p>
        </w:tc>
        <w:tc>
          <w:tcPr>
            <w:tcW w:w="1295" w:type="dxa"/>
            <w:shd w:val="clear" w:color="auto" w:fill="auto"/>
            <w:vAlign w:val="center"/>
          </w:tcPr>
          <w:p>
            <w:pPr>
              <w:jc w:val="center"/>
              <w:rPr>
                <w:color w:val="000000"/>
                <w:szCs w:val="21"/>
              </w:rPr>
            </w:pPr>
            <w:r>
              <w:rPr>
                <w:color w:val="000000"/>
                <w:szCs w:val="21"/>
              </w:rPr>
              <w:t>23.4</w:t>
            </w:r>
          </w:p>
        </w:tc>
        <w:tc>
          <w:tcPr>
            <w:tcW w:w="1758" w:type="dxa"/>
            <w:shd w:val="clear" w:color="auto" w:fill="auto"/>
            <w:vAlign w:val="center"/>
          </w:tcPr>
          <w:p>
            <w:pPr>
              <w:jc w:val="center"/>
              <w:rPr>
                <w:szCs w:val="21"/>
              </w:rPr>
            </w:pPr>
            <w:r>
              <w:rPr>
                <w:rFonts w:hint="eastAsia"/>
                <w:szCs w:val="21"/>
              </w:rPr>
              <w:t>18.1</w:t>
            </w:r>
          </w:p>
        </w:tc>
        <w:tc>
          <w:tcPr>
            <w:tcW w:w="1141" w:type="dxa"/>
            <w:shd w:val="clear" w:color="auto" w:fill="auto"/>
            <w:vAlign w:val="center"/>
          </w:tcPr>
          <w:p>
            <w:pPr>
              <w:widowControl/>
              <w:jc w:val="center"/>
              <w:rPr>
                <w:szCs w:val="21"/>
              </w:rPr>
            </w:pPr>
            <w:r>
              <w:rPr>
                <w:rFonts w:hint="eastAsia"/>
                <w:color w:val="000000"/>
                <w:szCs w:val="21"/>
              </w:rPr>
              <w:t>95.91%</w:t>
            </w:r>
          </w:p>
        </w:tc>
        <w:tc>
          <w:tcPr>
            <w:tcW w:w="1926" w:type="dxa"/>
            <w:shd w:val="clear" w:color="auto" w:fill="auto"/>
            <w:vAlign w:val="center"/>
          </w:tcPr>
          <w:p>
            <w:pPr>
              <w:widowControl/>
              <w:spacing w:line="260" w:lineRule="exact"/>
              <w:jc w:val="center"/>
              <w:rPr>
                <w:szCs w:val="21"/>
              </w:rPr>
            </w:pPr>
            <w:r>
              <w:rPr>
                <w:rFonts w:hint="eastAsia"/>
                <w:szCs w:val="21"/>
              </w:rPr>
              <w:t>5时、13时至21时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718" w:type="dxa"/>
            <w:shd w:val="clear" w:color="auto" w:fill="auto"/>
            <w:vAlign w:val="center"/>
          </w:tcPr>
          <w:p>
            <w:pPr>
              <w:jc w:val="center"/>
              <w:rPr>
                <w:szCs w:val="21"/>
              </w:rPr>
            </w:pPr>
            <w:r>
              <w:rPr>
                <w:rFonts w:hint="eastAsia"/>
                <w:szCs w:val="21"/>
              </w:rPr>
              <w:t>电子信息产业园</w:t>
            </w:r>
          </w:p>
        </w:tc>
        <w:tc>
          <w:tcPr>
            <w:tcW w:w="1404" w:type="dxa"/>
            <w:shd w:val="clear" w:color="auto" w:fill="auto"/>
            <w:vAlign w:val="center"/>
          </w:tcPr>
          <w:p>
            <w:pPr>
              <w:jc w:val="center"/>
              <w:rPr>
                <w:color w:val="000000"/>
                <w:szCs w:val="21"/>
              </w:rPr>
            </w:pPr>
            <w:r>
              <w:rPr>
                <w:color w:val="000000"/>
                <w:szCs w:val="21"/>
              </w:rPr>
              <w:t>34.683</w:t>
            </w:r>
          </w:p>
        </w:tc>
        <w:tc>
          <w:tcPr>
            <w:tcW w:w="1295" w:type="dxa"/>
            <w:shd w:val="clear" w:color="auto" w:fill="auto"/>
            <w:vAlign w:val="center"/>
          </w:tcPr>
          <w:p>
            <w:pPr>
              <w:jc w:val="center"/>
              <w:rPr>
                <w:color w:val="000000"/>
                <w:szCs w:val="21"/>
              </w:rPr>
            </w:pPr>
            <w:r>
              <w:rPr>
                <w:color w:val="000000"/>
                <w:szCs w:val="21"/>
              </w:rPr>
              <w:t>23.8</w:t>
            </w:r>
          </w:p>
        </w:tc>
        <w:tc>
          <w:tcPr>
            <w:tcW w:w="1758" w:type="dxa"/>
            <w:shd w:val="clear" w:color="auto" w:fill="auto"/>
            <w:vAlign w:val="center"/>
          </w:tcPr>
          <w:p>
            <w:pPr>
              <w:jc w:val="center"/>
              <w:rPr>
                <w:szCs w:val="21"/>
              </w:rPr>
            </w:pPr>
            <w:r>
              <w:rPr>
                <w:rFonts w:hint="eastAsia"/>
                <w:szCs w:val="21"/>
              </w:rPr>
              <w:t>18.6</w:t>
            </w:r>
          </w:p>
        </w:tc>
        <w:tc>
          <w:tcPr>
            <w:tcW w:w="1141" w:type="dxa"/>
            <w:shd w:val="clear" w:color="auto" w:fill="auto"/>
            <w:vAlign w:val="center"/>
          </w:tcPr>
          <w:p>
            <w:pPr>
              <w:widowControl/>
              <w:jc w:val="center"/>
              <w:rPr>
                <w:szCs w:val="21"/>
              </w:rPr>
            </w:pPr>
            <w:r>
              <w:rPr>
                <w:rFonts w:hint="eastAsia"/>
                <w:color w:val="000000"/>
                <w:szCs w:val="21"/>
              </w:rPr>
              <w:t>96.72%</w:t>
            </w:r>
          </w:p>
        </w:tc>
        <w:tc>
          <w:tcPr>
            <w:tcW w:w="1926" w:type="dxa"/>
            <w:shd w:val="clear" w:color="auto" w:fill="auto"/>
            <w:vAlign w:val="center"/>
          </w:tcPr>
          <w:p>
            <w:pPr>
              <w:widowControl/>
              <w:spacing w:line="260" w:lineRule="exact"/>
              <w:jc w:val="center"/>
              <w:rPr>
                <w:szCs w:val="21"/>
              </w:rPr>
            </w:pPr>
            <w:r>
              <w:rPr>
                <w:rFonts w:hint="eastAsia"/>
                <w:szCs w:val="21"/>
              </w:rPr>
              <w:t>5时、13时至21时</w:t>
            </w:r>
          </w:p>
        </w:tc>
      </w:tr>
    </w:tbl>
    <w:p>
      <w:pPr>
        <w:widowControl/>
        <w:spacing w:after="120" w:line="120" w:lineRule="exact"/>
        <w:rPr>
          <w:color w:val="000000"/>
          <w:sz w:val="28"/>
          <w:szCs w:val="21"/>
        </w:rPr>
      </w:pPr>
    </w:p>
    <w:p>
      <w:pPr>
        <w:widowControl/>
        <w:spacing w:after="120" w:line="500" w:lineRule="exact"/>
        <w:ind w:firstLine="560" w:firstLineChars="200"/>
        <w:rPr>
          <w:color w:val="000000"/>
          <w:sz w:val="28"/>
          <w:szCs w:val="21"/>
        </w:rPr>
      </w:pPr>
      <w:r>
        <w:rPr>
          <w:rFonts w:hint="eastAsia"/>
          <w:color w:val="000000"/>
          <w:sz w:val="28"/>
          <w:szCs w:val="21"/>
        </w:rPr>
        <w:t>（</w:t>
      </w:r>
      <w:r>
        <w:rPr>
          <w:color w:val="000000"/>
          <w:sz w:val="28"/>
          <w:szCs w:val="21"/>
        </w:rPr>
        <w:t>3</w:t>
      </w:r>
      <w:r>
        <w:rPr>
          <w:rFonts w:hint="eastAsia"/>
          <w:color w:val="000000"/>
          <w:sz w:val="28"/>
          <w:szCs w:val="21"/>
        </w:rPr>
        <w:t>）</w:t>
      </w:r>
      <w:r>
        <w:rPr>
          <w:color w:val="000000"/>
          <w:sz w:val="28"/>
          <w:szCs w:val="21"/>
        </w:rPr>
        <w:t>从地闪密度值来看，</w:t>
      </w:r>
      <w:r>
        <w:rPr>
          <w:rFonts w:hint="eastAsia"/>
          <w:color w:val="000000"/>
          <w:sz w:val="28"/>
          <w:szCs w:val="21"/>
        </w:rPr>
        <w:t>清远高新区</w:t>
      </w:r>
      <w:r>
        <w:rPr>
          <w:rFonts w:hint="eastAsia"/>
          <w:sz w:val="28"/>
          <w:szCs w:val="21"/>
        </w:rPr>
        <w:t>各园区</w:t>
      </w:r>
      <w:r>
        <w:rPr>
          <w:sz w:val="28"/>
          <w:szCs w:val="21"/>
        </w:rPr>
        <w:t>扩充的</w:t>
      </w:r>
      <w:r>
        <w:rPr>
          <w:rFonts w:hint="eastAsia"/>
          <w:sz w:val="28"/>
          <w:szCs w:val="21"/>
        </w:rPr>
        <w:t>5</w:t>
      </w:r>
      <w:r>
        <w:rPr>
          <w:sz w:val="28"/>
          <w:szCs w:val="21"/>
        </w:rPr>
        <w:t>km范围对应的多年平均</w:t>
      </w:r>
      <w:r>
        <w:rPr>
          <w:color w:val="000000"/>
          <w:sz w:val="28"/>
          <w:szCs w:val="21"/>
        </w:rPr>
        <w:t>地闪密度值介于</w:t>
      </w:r>
      <w:r>
        <w:rPr>
          <w:rFonts w:hint="eastAsia"/>
          <w:color w:val="000000"/>
          <w:sz w:val="28"/>
          <w:szCs w:val="21"/>
        </w:rPr>
        <w:t>34</w:t>
      </w:r>
      <w:r>
        <w:rPr>
          <w:color w:val="000000"/>
          <w:sz w:val="28"/>
          <w:szCs w:val="21"/>
        </w:rPr>
        <w:t>~</w:t>
      </w:r>
      <w:r>
        <w:rPr>
          <w:rFonts w:hint="eastAsia"/>
          <w:color w:val="000000"/>
          <w:sz w:val="28"/>
          <w:szCs w:val="21"/>
        </w:rPr>
        <w:t>37</w:t>
      </w:r>
      <w:r>
        <w:rPr>
          <w:color w:val="000000"/>
          <w:sz w:val="28"/>
          <w:szCs w:val="21"/>
        </w:rPr>
        <w:t>次/(km</w:t>
      </w:r>
      <w:r>
        <w:rPr>
          <w:color w:val="000000"/>
          <w:sz w:val="28"/>
          <w:szCs w:val="21"/>
          <w:vertAlign w:val="superscript"/>
        </w:rPr>
        <w:t>2</w:t>
      </w:r>
      <w:r>
        <w:rPr>
          <w:color w:val="000000"/>
          <w:sz w:val="28"/>
          <w:szCs w:val="21"/>
        </w:rPr>
        <w:t>•a)</w:t>
      </w:r>
      <w:r>
        <w:rPr>
          <w:rFonts w:hint="eastAsia"/>
          <w:color w:val="000000"/>
          <w:sz w:val="28"/>
          <w:szCs w:val="21"/>
        </w:rPr>
        <w:t>。</w:t>
      </w:r>
      <w:r>
        <w:rPr>
          <w:color w:val="000000"/>
          <w:sz w:val="28"/>
          <w:szCs w:val="21"/>
        </w:rPr>
        <w:t>1999年至201</w:t>
      </w:r>
      <w:r>
        <w:rPr>
          <w:rFonts w:hint="eastAsia"/>
          <w:color w:val="000000"/>
          <w:sz w:val="28"/>
          <w:szCs w:val="21"/>
        </w:rPr>
        <w:t>9</w:t>
      </w:r>
      <w:r>
        <w:rPr>
          <w:color w:val="000000"/>
          <w:sz w:val="28"/>
          <w:szCs w:val="21"/>
        </w:rPr>
        <w:t>年期间，曲线总体呈上升趋势，地闪密度值明显增加</w:t>
      </w:r>
      <w:r>
        <w:rPr>
          <w:rFonts w:hint="eastAsia"/>
          <w:color w:val="000000"/>
          <w:sz w:val="28"/>
          <w:szCs w:val="21"/>
        </w:rPr>
        <w:t>。通过距平分析，</w:t>
      </w:r>
      <w:r>
        <w:rPr>
          <w:rFonts w:hint="eastAsia"/>
          <w:sz w:val="28"/>
          <w:szCs w:val="21"/>
        </w:rPr>
        <w:t>百嘉科技园、银源工业小区和莲湖产业园的地闪密度正距平区略多，雷电发展主要呈小幅增长趋势。</w:t>
      </w:r>
    </w:p>
    <w:p>
      <w:pPr>
        <w:widowControl/>
        <w:spacing w:after="120" w:line="500" w:lineRule="exact"/>
        <w:ind w:firstLine="560" w:firstLineChars="200"/>
        <w:rPr>
          <w:color w:val="FF0000"/>
          <w:sz w:val="28"/>
          <w:szCs w:val="21"/>
        </w:rPr>
      </w:pPr>
      <w:r>
        <w:rPr>
          <w:rFonts w:hint="eastAsia"/>
          <w:color w:val="000000"/>
          <w:sz w:val="28"/>
        </w:rPr>
        <w:t>（</w:t>
      </w:r>
      <w:r>
        <w:rPr>
          <w:color w:val="000000"/>
          <w:sz w:val="28"/>
        </w:rPr>
        <w:t>4</w:t>
      </w:r>
      <w:r>
        <w:rPr>
          <w:rFonts w:hint="eastAsia"/>
          <w:color w:val="000000"/>
          <w:sz w:val="28"/>
        </w:rPr>
        <w:t>）</w:t>
      </w:r>
      <w:r>
        <w:rPr>
          <w:sz w:val="28"/>
          <w:szCs w:val="21"/>
        </w:rPr>
        <w:t>雷电平均电流强度介于</w:t>
      </w:r>
      <w:r>
        <w:rPr>
          <w:rFonts w:hint="eastAsia"/>
          <w:sz w:val="28"/>
          <w:szCs w:val="21"/>
        </w:rPr>
        <w:t>23</w:t>
      </w:r>
      <w:r>
        <w:rPr>
          <w:sz w:val="28"/>
          <w:szCs w:val="21"/>
        </w:rPr>
        <w:t>~</w:t>
      </w:r>
      <w:r>
        <w:rPr>
          <w:rFonts w:hint="eastAsia"/>
          <w:sz w:val="28"/>
          <w:szCs w:val="21"/>
        </w:rPr>
        <w:t>26</w:t>
      </w:r>
      <w:r>
        <w:rPr>
          <w:sz w:val="28"/>
          <w:szCs w:val="21"/>
        </w:rPr>
        <w:t>kA之间，</w:t>
      </w:r>
      <w:r>
        <w:rPr>
          <w:rFonts w:hint="eastAsia"/>
          <w:sz w:val="28"/>
          <w:szCs w:val="21"/>
        </w:rPr>
        <w:t>明显小于广东省全省平均值（28.8kA），</w:t>
      </w:r>
      <w:r>
        <w:rPr>
          <w:rFonts w:hint="eastAsia"/>
          <w:color w:val="000000"/>
          <w:sz w:val="28"/>
          <w:szCs w:val="21"/>
        </w:rPr>
        <w:t>要重视</w:t>
      </w:r>
      <w:r>
        <w:rPr>
          <w:color w:val="000000"/>
          <w:sz w:val="28"/>
          <w:szCs w:val="21"/>
        </w:rPr>
        <w:t>加强直击雷防护</w:t>
      </w:r>
      <w:r>
        <w:rPr>
          <w:rFonts w:hint="eastAsia"/>
          <w:color w:val="000000"/>
          <w:sz w:val="28"/>
          <w:szCs w:val="21"/>
        </w:rPr>
        <w:t>，并</w:t>
      </w:r>
      <w:r>
        <w:rPr>
          <w:color w:val="000000"/>
          <w:sz w:val="28"/>
          <w:szCs w:val="21"/>
        </w:rPr>
        <w:t>提高雷电防护等级</w:t>
      </w:r>
      <w:r>
        <w:rPr>
          <w:sz w:val="28"/>
          <w:szCs w:val="21"/>
        </w:rPr>
        <w:t>。</w:t>
      </w:r>
      <w:r>
        <w:rPr>
          <w:color w:val="000000"/>
          <w:sz w:val="28"/>
          <w:szCs w:val="21"/>
        </w:rPr>
        <w:t>年平均雷电流值</w:t>
      </w:r>
      <w:r>
        <w:rPr>
          <w:rFonts w:hint="eastAsia"/>
          <w:color w:val="000000"/>
          <w:sz w:val="28"/>
          <w:szCs w:val="21"/>
        </w:rPr>
        <w:t>高峰</w:t>
      </w:r>
      <w:r>
        <w:rPr>
          <w:color w:val="000000"/>
          <w:sz w:val="28"/>
          <w:szCs w:val="21"/>
        </w:rPr>
        <w:t>出现在2006年</w:t>
      </w:r>
      <w:r>
        <w:rPr>
          <w:rFonts w:hint="eastAsia"/>
          <w:color w:val="000000"/>
          <w:sz w:val="28"/>
          <w:szCs w:val="21"/>
        </w:rPr>
        <w:t>。</w:t>
      </w:r>
    </w:p>
    <w:p>
      <w:pPr>
        <w:widowControl/>
        <w:spacing w:after="120" w:line="500" w:lineRule="exact"/>
        <w:ind w:firstLine="560" w:firstLineChars="200"/>
        <w:rPr>
          <w:sz w:val="28"/>
          <w:szCs w:val="21"/>
        </w:rPr>
      </w:pPr>
      <w:r>
        <w:rPr>
          <w:rFonts w:hint="eastAsia"/>
          <w:sz w:val="28"/>
        </w:rPr>
        <w:t>（</w:t>
      </w:r>
      <w:r>
        <w:rPr>
          <w:sz w:val="28"/>
        </w:rPr>
        <w:t>5</w:t>
      </w:r>
      <w:r>
        <w:rPr>
          <w:rFonts w:hint="eastAsia"/>
          <w:sz w:val="28"/>
        </w:rPr>
        <w:t>）</w:t>
      </w:r>
      <w:r>
        <w:rPr>
          <w:sz w:val="28"/>
          <w:szCs w:val="21"/>
        </w:rPr>
        <w:t>50%概率所对应的雷电流强度介于</w:t>
      </w:r>
      <w:r>
        <w:rPr>
          <w:rFonts w:hint="eastAsia"/>
          <w:sz w:val="28"/>
          <w:szCs w:val="21"/>
        </w:rPr>
        <w:t>18</w:t>
      </w:r>
      <w:r>
        <w:rPr>
          <w:sz w:val="28"/>
          <w:szCs w:val="21"/>
        </w:rPr>
        <w:t>～</w:t>
      </w:r>
      <w:r>
        <w:rPr>
          <w:rFonts w:hint="eastAsia"/>
          <w:sz w:val="28"/>
          <w:szCs w:val="21"/>
        </w:rPr>
        <w:t>20</w:t>
      </w:r>
      <w:r>
        <w:rPr>
          <w:sz w:val="28"/>
          <w:szCs w:val="21"/>
        </w:rPr>
        <w:t>kA之间。</w:t>
      </w:r>
    </w:p>
    <w:p>
      <w:pPr>
        <w:widowControl/>
        <w:spacing w:after="120" w:line="500" w:lineRule="exact"/>
        <w:ind w:firstLine="560" w:firstLineChars="200"/>
        <w:rPr>
          <w:sz w:val="28"/>
          <w:szCs w:val="21"/>
        </w:rPr>
      </w:pPr>
      <w:r>
        <w:rPr>
          <w:rFonts w:hint="eastAsia"/>
          <w:sz w:val="28"/>
        </w:rPr>
        <w:t>（</w:t>
      </w:r>
      <w:r>
        <w:rPr>
          <w:sz w:val="28"/>
        </w:rPr>
        <w:t>6</w:t>
      </w:r>
      <w:r>
        <w:rPr>
          <w:rFonts w:hint="eastAsia"/>
          <w:sz w:val="28"/>
        </w:rPr>
        <w:t>）</w:t>
      </w:r>
      <w:r>
        <w:rPr>
          <w:sz w:val="28"/>
          <w:szCs w:val="21"/>
        </w:rPr>
        <w:t>雷电月分布特征明显，主要分布在4～9六个月，占</w:t>
      </w:r>
      <w:r>
        <w:rPr>
          <w:rFonts w:hint="eastAsia"/>
          <w:sz w:val="28"/>
          <w:szCs w:val="21"/>
        </w:rPr>
        <w:t>95.15～97.15%</w:t>
      </w:r>
      <w:r>
        <w:rPr>
          <w:sz w:val="28"/>
          <w:szCs w:val="21"/>
        </w:rPr>
        <w:t>，其中</w:t>
      </w:r>
      <w:r>
        <w:rPr>
          <w:rFonts w:hint="eastAsia"/>
          <w:sz w:val="28"/>
          <w:szCs w:val="21"/>
        </w:rPr>
        <w:t>5、</w:t>
      </w:r>
      <w:r>
        <w:rPr>
          <w:sz w:val="28"/>
          <w:szCs w:val="21"/>
        </w:rPr>
        <w:t>6、7、8月份是雷电高发月份，占</w:t>
      </w:r>
      <w:r>
        <w:rPr>
          <w:rFonts w:hint="eastAsia"/>
          <w:sz w:val="28"/>
          <w:szCs w:val="21"/>
        </w:rPr>
        <w:t>80</w:t>
      </w:r>
      <w:r>
        <w:rPr>
          <w:sz w:val="28"/>
          <w:szCs w:val="21"/>
        </w:rPr>
        <w:t>%以上。</w:t>
      </w:r>
    </w:p>
    <w:p>
      <w:pPr>
        <w:widowControl/>
        <w:spacing w:after="120" w:line="500" w:lineRule="exact"/>
        <w:ind w:firstLine="560" w:firstLineChars="200"/>
        <w:rPr>
          <w:sz w:val="28"/>
          <w:szCs w:val="21"/>
        </w:rPr>
      </w:pPr>
      <w:r>
        <w:rPr>
          <w:rFonts w:hint="eastAsia"/>
          <w:sz w:val="28"/>
        </w:rPr>
        <w:t>（</w:t>
      </w:r>
      <w:r>
        <w:rPr>
          <w:sz w:val="28"/>
        </w:rPr>
        <w:t>7</w:t>
      </w:r>
      <w:r>
        <w:rPr>
          <w:rFonts w:hint="eastAsia"/>
          <w:sz w:val="28"/>
        </w:rPr>
        <w:t>）</w:t>
      </w:r>
      <w:r>
        <w:rPr>
          <w:sz w:val="28"/>
          <w:szCs w:val="21"/>
        </w:rPr>
        <w:t>雷电时分布特征很明显，主要集中午后至晚上，有明显的多发时段，多发时段为</w:t>
      </w:r>
      <w:r>
        <w:rPr>
          <w:rFonts w:hint="eastAsia"/>
          <w:sz w:val="28"/>
          <w:szCs w:val="21"/>
        </w:rPr>
        <w:t>5时、</w:t>
      </w:r>
      <w:r>
        <w:rPr>
          <w:rFonts w:hint="eastAsia"/>
          <w:color w:val="000000"/>
          <w:sz w:val="28"/>
          <w:szCs w:val="21"/>
        </w:rPr>
        <w:t>13时至21时</w:t>
      </w:r>
      <w:r>
        <w:rPr>
          <w:sz w:val="28"/>
          <w:szCs w:val="21"/>
        </w:rPr>
        <w:t>。</w:t>
      </w:r>
      <w:bookmarkStart w:id="39" w:name="_Toc530931567"/>
    </w:p>
    <w:p>
      <w:pPr>
        <w:keepNext/>
        <w:keepLines/>
        <w:widowControl/>
        <w:spacing w:before="260" w:after="260" w:line="415" w:lineRule="auto"/>
        <w:outlineLvl w:val="1"/>
        <w:rPr>
          <w:rFonts w:eastAsia="黑体"/>
          <w:bCs/>
          <w:sz w:val="32"/>
          <w:szCs w:val="32"/>
        </w:rPr>
      </w:pPr>
      <w:bookmarkStart w:id="40" w:name="_Toc48056602"/>
      <w:r>
        <w:rPr>
          <w:rFonts w:hint="eastAsia" w:eastAsia="黑体"/>
          <w:bCs/>
          <w:sz w:val="32"/>
          <w:szCs w:val="32"/>
        </w:rPr>
        <w:t>8.4 区域雷电灾害分析</w:t>
      </w:r>
      <w:bookmarkEnd w:id="40"/>
    </w:p>
    <w:p>
      <w:pPr>
        <w:widowControl/>
        <w:spacing w:after="120" w:line="500" w:lineRule="exact"/>
        <w:ind w:firstLine="560" w:firstLineChars="200"/>
        <w:rPr>
          <w:sz w:val="28"/>
          <w:szCs w:val="21"/>
        </w:rPr>
      </w:pPr>
      <w:r>
        <w:rPr>
          <w:sz w:val="28"/>
          <w:szCs w:val="21"/>
        </w:rPr>
        <w:t>（1）2010年到2019年，广东省共发生雷电灾害5150宗，其中2010年雷电灾害发生最多，达995宗</w:t>
      </w:r>
      <w:r>
        <w:rPr>
          <w:rFonts w:hint="eastAsia"/>
          <w:sz w:val="28"/>
          <w:szCs w:val="21"/>
        </w:rPr>
        <w:t>；</w:t>
      </w:r>
      <w:r>
        <w:rPr>
          <w:sz w:val="28"/>
          <w:szCs w:val="21"/>
        </w:rPr>
        <w:t>广东省因雷电灾造成的直接经济损失达20246.49万元，间接经济损失达53007万元。</w:t>
      </w:r>
    </w:p>
    <w:p>
      <w:pPr>
        <w:widowControl/>
        <w:spacing w:after="120" w:line="500" w:lineRule="exact"/>
        <w:ind w:firstLine="560" w:firstLineChars="200"/>
        <w:rPr>
          <w:sz w:val="28"/>
          <w:szCs w:val="21"/>
        </w:rPr>
      </w:pPr>
      <w:r>
        <w:rPr>
          <w:sz w:val="28"/>
          <w:szCs w:val="21"/>
        </w:rPr>
        <w:t>（</w:t>
      </w:r>
      <w:r>
        <w:rPr>
          <w:rFonts w:hint="eastAsia"/>
          <w:sz w:val="28"/>
          <w:szCs w:val="21"/>
        </w:rPr>
        <w:t>2</w:t>
      </w:r>
      <w:r>
        <w:rPr>
          <w:sz w:val="28"/>
          <w:szCs w:val="21"/>
        </w:rPr>
        <w:t>）在火灾或爆炸、雷灾人身事故、建(构)筑物受损、办公电子电器设备受损和家用电子电器设备受损等几种类型中，电子电器受损占总宗数的70.08%，比例最高，除其他类外，最高为建构筑物受损，再次是雷灾人身伤亡事故。电力行业所占比例最高，达到16.97%；通讯行业次之。</w:t>
      </w:r>
    </w:p>
    <w:p>
      <w:pPr>
        <w:widowControl/>
        <w:spacing w:after="120" w:line="500" w:lineRule="exact"/>
        <w:ind w:firstLine="560" w:firstLineChars="200"/>
        <w:rPr>
          <w:sz w:val="28"/>
          <w:szCs w:val="21"/>
        </w:rPr>
      </w:pPr>
      <w:r>
        <w:rPr>
          <w:sz w:val="28"/>
          <w:szCs w:val="21"/>
        </w:rPr>
        <w:t>（</w:t>
      </w:r>
      <w:r>
        <w:rPr>
          <w:rFonts w:hint="eastAsia"/>
          <w:sz w:val="28"/>
          <w:szCs w:val="21"/>
        </w:rPr>
        <w:t>3</w:t>
      </w:r>
      <w:r>
        <w:rPr>
          <w:sz w:val="28"/>
          <w:szCs w:val="21"/>
        </w:rPr>
        <w:t>）2010年到2019年，广东省因雷电灾害导致人身伤亡事故133宗，其中130人受伤，137人死亡，其中2013年因灾受伤人数达30人。人员伤亡事故主要发生在农村地区。</w:t>
      </w:r>
    </w:p>
    <w:p>
      <w:pPr>
        <w:widowControl/>
        <w:spacing w:after="120" w:line="500" w:lineRule="exact"/>
        <w:ind w:firstLine="560" w:firstLineChars="200"/>
        <w:rPr>
          <w:sz w:val="28"/>
          <w:szCs w:val="21"/>
        </w:rPr>
      </w:pPr>
      <w:r>
        <w:rPr>
          <w:sz w:val="28"/>
          <w:szCs w:val="21"/>
        </w:rPr>
        <w:t>（</w:t>
      </w:r>
      <w:r>
        <w:rPr>
          <w:rFonts w:hint="eastAsia"/>
          <w:sz w:val="28"/>
          <w:szCs w:val="21"/>
        </w:rPr>
        <w:t>4</w:t>
      </w:r>
      <w:r>
        <w:rPr>
          <w:sz w:val="28"/>
          <w:szCs w:val="21"/>
        </w:rPr>
        <w:t>）</w:t>
      </w:r>
      <w:r>
        <w:rPr>
          <w:rFonts w:hint="eastAsia"/>
          <w:sz w:val="28"/>
          <w:szCs w:val="21"/>
        </w:rPr>
        <w:t>2010年到2019年，清远市共发生雷电灾害447宗，其中电子电器受损的宗数约占总数的96%；清远市因雷电灾造成的直接经济损失达1959.59万元，间接经济损失达2705.15万元；清远市因雷电灾害导致人身伤亡事故2宗，其中受伤人数1人，死亡人数2人，在全省来看因雷电导致的人身伤亡事故数和伤亡人数较少。</w:t>
      </w:r>
    </w:p>
    <w:p>
      <w:pPr>
        <w:widowControl/>
        <w:spacing w:after="120" w:line="500" w:lineRule="exact"/>
        <w:ind w:firstLine="560" w:firstLineChars="200"/>
        <w:rPr>
          <w:sz w:val="28"/>
          <w:szCs w:val="21"/>
        </w:rPr>
      </w:pPr>
      <w:r>
        <w:rPr>
          <w:rFonts w:hint="eastAsia"/>
          <w:sz w:val="28"/>
          <w:szCs w:val="21"/>
        </w:rPr>
        <w:t>（6）清远市</w:t>
      </w:r>
      <w:r>
        <w:rPr>
          <w:sz w:val="28"/>
          <w:szCs w:val="21"/>
        </w:rPr>
        <w:t>雷电灾害月分布特征明显，主要分布在</w:t>
      </w:r>
      <w:r>
        <w:rPr>
          <w:rFonts w:hint="eastAsia"/>
          <w:sz w:val="28"/>
          <w:szCs w:val="21"/>
        </w:rPr>
        <w:t>3</w:t>
      </w:r>
      <w:r>
        <w:rPr>
          <w:sz w:val="28"/>
          <w:szCs w:val="21"/>
        </w:rPr>
        <w:t>～9七个月，占全年的96.42%，其中</w:t>
      </w:r>
      <w:r>
        <w:rPr>
          <w:rFonts w:hint="eastAsia"/>
          <w:sz w:val="28"/>
          <w:szCs w:val="21"/>
        </w:rPr>
        <w:t>5-7</w:t>
      </w:r>
      <w:r>
        <w:rPr>
          <w:sz w:val="28"/>
          <w:szCs w:val="21"/>
        </w:rPr>
        <w:t>月份是雷灾高发月份，占66.00%以上，与</w:t>
      </w:r>
      <w:r>
        <w:rPr>
          <w:rFonts w:hint="eastAsia"/>
          <w:sz w:val="28"/>
          <w:szCs w:val="21"/>
        </w:rPr>
        <w:t>地闪</w:t>
      </w:r>
      <w:r>
        <w:rPr>
          <w:sz w:val="28"/>
          <w:szCs w:val="21"/>
        </w:rPr>
        <w:t>月分布特征基本一致</w:t>
      </w:r>
      <w:r>
        <w:rPr>
          <w:rFonts w:hint="eastAsia"/>
          <w:sz w:val="28"/>
          <w:szCs w:val="21"/>
        </w:rPr>
        <w:t>。</w:t>
      </w:r>
    </w:p>
    <w:p>
      <w:pPr>
        <w:widowControl/>
        <w:spacing w:after="120" w:line="500" w:lineRule="exact"/>
        <w:ind w:firstLine="560" w:firstLineChars="200"/>
        <w:rPr>
          <w:sz w:val="28"/>
          <w:szCs w:val="21"/>
        </w:rPr>
      </w:pPr>
      <w:r>
        <w:rPr>
          <w:rFonts w:hint="eastAsia"/>
          <w:sz w:val="28"/>
          <w:szCs w:val="21"/>
        </w:rPr>
        <w:t>（7）2010年到2019年，清远高新区及周边雷电灾害类型主要为电子电器受损。其中，清远高新区内多家企业先后多次因雷击造成损失。</w:t>
      </w:r>
    </w:p>
    <w:p>
      <w:pPr>
        <w:keepNext/>
        <w:keepLines/>
        <w:widowControl/>
        <w:spacing w:before="260" w:after="260" w:line="415" w:lineRule="auto"/>
        <w:outlineLvl w:val="1"/>
        <w:rPr>
          <w:rFonts w:eastAsia="黑体"/>
          <w:bCs/>
          <w:sz w:val="32"/>
          <w:szCs w:val="32"/>
        </w:rPr>
      </w:pPr>
      <w:bookmarkStart w:id="41" w:name="_Toc48056603"/>
      <w:r>
        <w:rPr>
          <w:rFonts w:hint="eastAsia" w:eastAsia="黑体"/>
          <w:bCs/>
          <w:sz w:val="32"/>
          <w:szCs w:val="32"/>
        </w:rPr>
        <w:t>8.5 区域雷电灾害风险评估</w:t>
      </w:r>
      <w:bookmarkEnd w:id="39"/>
      <w:bookmarkEnd w:id="41"/>
    </w:p>
    <w:p>
      <w:pPr>
        <w:keepNext/>
        <w:keepLines/>
        <w:spacing w:before="156" w:beforeLines="50" w:after="156" w:afterLines="50" w:line="500" w:lineRule="exact"/>
        <w:outlineLvl w:val="2"/>
        <w:rPr>
          <w:rFonts w:eastAsia="黑体"/>
          <w:bCs/>
          <w:sz w:val="28"/>
          <w:szCs w:val="28"/>
        </w:rPr>
      </w:pPr>
      <w:bookmarkStart w:id="42" w:name="_Toc48056604"/>
      <w:r>
        <w:rPr>
          <w:rFonts w:hint="eastAsia" w:eastAsia="黑体"/>
          <w:bCs/>
          <w:sz w:val="28"/>
          <w:szCs w:val="28"/>
        </w:rPr>
        <w:t>8.5.1 区域雷电风险辨识</w:t>
      </w:r>
      <w:bookmarkEnd w:id="42"/>
    </w:p>
    <w:p>
      <w:pPr>
        <w:widowControl/>
        <w:spacing w:after="120" w:line="500" w:lineRule="exact"/>
        <w:ind w:firstLine="560" w:firstLineChars="200"/>
        <w:rPr>
          <w:sz w:val="28"/>
          <w:szCs w:val="21"/>
        </w:rPr>
      </w:pPr>
      <w:r>
        <w:rPr>
          <w:rFonts w:hint="eastAsia"/>
          <w:sz w:val="28"/>
          <w:szCs w:val="21"/>
        </w:rPr>
        <w:t>（1）园区内</w:t>
      </w:r>
      <w:r>
        <w:rPr>
          <w:sz w:val="28"/>
          <w:szCs w:val="21"/>
        </w:rPr>
        <w:t>建构筑物</w:t>
      </w:r>
      <w:r>
        <w:rPr>
          <w:rFonts w:hint="eastAsia"/>
          <w:sz w:val="28"/>
          <w:szCs w:val="21"/>
        </w:rPr>
        <w:t>、</w:t>
      </w:r>
      <w:r>
        <w:rPr>
          <w:sz w:val="28"/>
          <w:szCs w:val="21"/>
        </w:rPr>
        <w:t>户外大型设备</w:t>
      </w:r>
      <w:r>
        <w:rPr>
          <w:rFonts w:hint="eastAsia"/>
          <w:sz w:val="28"/>
          <w:szCs w:val="21"/>
        </w:rPr>
        <w:t>因雷击</w:t>
      </w:r>
      <w:r>
        <w:rPr>
          <w:sz w:val="28"/>
          <w:szCs w:val="21"/>
        </w:rPr>
        <w:t>损坏</w:t>
      </w:r>
      <w:r>
        <w:rPr>
          <w:rFonts w:hint="eastAsia"/>
          <w:sz w:val="28"/>
          <w:szCs w:val="21"/>
        </w:rPr>
        <w:t>，造成</w:t>
      </w:r>
      <w:r>
        <w:rPr>
          <w:sz w:val="28"/>
          <w:szCs w:val="21"/>
        </w:rPr>
        <w:t>经济损失</w:t>
      </w:r>
      <w:r>
        <w:rPr>
          <w:rFonts w:hint="eastAsia"/>
          <w:sz w:val="28"/>
          <w:szCs w:val="21"/>
        </w:rPr>
        <w:t>；</w:t>
      </w:r>
      <w:r>
        <w:rPr>
          <w:sz w:val="28"/>
          <w:szCs w:val="21"/>
        </w:rPr>
        <w:t>高层建筑物尤其是</w:t>
      </w:r>
      <w:r>
        <w:rPr>
          <w:rFonts w:hint="eastAsia"/>
          <w:sz w:val="28"/>
          <w:szCs w:val="21"/>
        </w:rPr>
        <w:t>60m以上的、甚至</w:t>
      </w:r>
      <w:r>
        <w:rPr>
          <w:sz w:val="28"/>
          <w:szCs w:val="21"/>
        </w:rPr>
        <w:t>超高层建筑物被雷击的几率明显增加</w:t>
      </w:r>
      <w:r>
        <w:rPr>
          <w:rFonts w:hint="eastAsia"/>
          <w:sz w:val="28"/>
          <w:szCs w:val="21"/>
        </w:rPr>
        <w:t>，高层、超高层建筑和户外大型设备等因雷击造成碎片高处跌落可能伤及行人和车辆，引起人身伤亡和经济损失。</w:t>
      </w:r>
    </w:p>
    <w:p>
      <w:pPr>
        <w:widowControl/>
        <w:spacing w:after="120" w:line="500" w:lineRule="exact"/>
        <w:ind w:firstLine="560" w:firstLineChars="200"/>
        <w:rPr>
          <w:color w:val="FF0000"/>
          <w:sz w:val="28"/>
          <w:szCs w:val="21"/>
          <w:highlight w:val="yellow"/>
        </w:rPr>
      </w:pPr>
      <w:r>
        <w:rPr>
          <w:rFonts w:hint="eastAsia"/>
          <w:sz w:val="28"/>
          <w:szCs w:val="21"/>
        </w:rPr>
        <w:t>（2）</w:t>
      </w:r>
      <w:r>
        <w:rPr>
          <w:sz w:val="28"/>
          <w:szCs w:val="21"/>
        </w:rPr>
        <w:t>建构筑物</w:t>
      </w:r>
      <w:r>
        <w:rPr>
          <w:rFonts w:hint="eastAsia"/>
          <w:sz w:val="28"/>
          <w:szCs w:val="21"/>
        </w:rPr>
        <w:t>、</w:t>
      </w:r>
      <w:r>
        <w:rPr>
          <w:sz w:val="28"/>
          <w:szCs w:val="21"/>
        </w:rPr>
        <w:t>户外大型设备或入户线路等遭受直接雷击时</w:t>
      </w:r>
      <w:r>
        <w:rPr>
          <w:rFonts w:hint="eastAsia"/>
          <w:sz w:val="28"/>
          <w:szCs w:val="21"/>
        </w:rPr>
        <w:t>，在雷电流泄散过程中因接触和跨步电压造成人身伤亡事故；</w:t>
      </w:r>
    </w:p>
    <w:p>
      <w:pPr>
        <w:widowControl/>
        <w:spacing w:after="120" w:line="500" w:lineRule="exact"/>
        <w:ind w:firstLine="560" w:firstLineChars="200"/>
        <w:rPr>
          <w:sz w:val="28"/>
          <w:szCs w:val="21"/>
        </w:rPr>
      </w:pPr>
      <w:r>
        <w:rPr>
          <w:rFonts w:hint="eastAsia"/>
          <w:sz w:val="28"/>
          <w:szCs w:val="21"/>
        </w:rPr>
        <w:t>（3）园区内危化及两重点一重大企业等存在易燃易爆场所的建构筑物、入户线路等遭受直接时，在建构筑物内或入口处因雷击导致危险火花放电触发火灾或爆炸事故，甚至危及周围环境；</w:t>
      </w:r>
    </w:p>
    <w:p>
      <w:pPr>
        <w:widowControl/>
        <w:spacing w:after="120" w:line="500" w:lineRule="exact"/>
        <w:ind w:firstLine="560" w:firstLineChars="200"/>
        <w:rPr>
          <w:sz w:val="28"/>
          <w:szCs w:val="21"/>
        </w:rPr>
      </w:pPr>
      <w:r>
        <w:rPr>
          <w:rFonts w:hint="eastAsia"/>
          <w:sz w:val="28"/>
          <w:szCs w:val="21"/>
        </w:rPr>
        <w:t>（4）雷击</w:t>
      </w:r>
      <w:r>
        <w:rPr>
          <w:sz w:val="28"/>
          <w:szCs w:val="21"/>
        </w:rPr>
        <w:t>建构筑物</w:t>
      </w:r>
      <w:r>
        <w:rPr>
          <w:rFonts w:hint="eastAsia"/>
          <w:sz w:val="28"/>
          <w:szCs w:val="21"/>
        </w:rPr>
        <w:t>、</w:t>
      </w:r>
      <w:r>
        <w:rPr>
          <w:sz w:val="28"/>
          <w:szCs w:val="21"/>
        </w:rPr>
        <w:t>户外大型设备</w:t>
      </w:r>
      <w:r>
        <w:rPr>
          <w:rFonts w:hint="eastAsia"/>
          <w:sz w:val="28"/>
          <w:szCs w:val="21"/>
        </w:rPr>
        <w:t>或其附近，</w:t>
      </w:r>
      <w:r>
        <w:rPr>
          <w:sz w:val="28"/>
          <w:szCs w:val="21"/>
        </w:rPr>
        <w:t>在其周围产生很强的电磁场，</w:t>
      </w:r>
      <w:r>
        <w:rPr>
          <w:rFonts w:hint="eastAsia"/>
          <w:sz w:val="28"/>
          <w:szCs w:val="21"/>
        </w:rPr>
        <w:t>因雷电电磁脉冲导致电气电子设备误动作甚至损坏。</w:t>
      </w:r>
    </w:p>
    <w:p>
      <w:pPr>
        <w:widowControl/>
        <w:spacing w:after="120" w:line="500" w:lineRule="exact"/>
        <w:ind w:firstLine="560" w:firstLineChars="200"/>
        <w:rPr>
          <w:sz w:val="28"/>
          <w:szCs w:val="21"/>
        </w:rPr>
      </w:pPr>
      <w:r>
        <w:rPr>
          <w:rFonts w:hint="eastAsia"/>
          <w:sz w:val="28"/>
          <w:szCs w:val="21"/>
        </w:rPr>
        <w:t>（5）建构筑物或入户线路遭受直接雷击时，</w:t>
      </w:r>
      <w:r>
        <w:rPr>
          <w:sz w:val="28"/>
          <w:szCs w:val="21"/>
        </w:rPr>
        <w:t>分流到配电系统、信号线路、其它金属管道中的雷电流引起设备过压（流）损坏或人员触电导致伤亡事故。</w:t>
      </w:r>
    </w:p>
    <w:p>
      <w:pPr>
        <w:widowControl/>
        <w:spacing w:after="120" w:line="500" w:lineRule="exact"/>
        <w:ind w:firstLine="560" w:firstLineChars="200"/>
        <w:rPr>
          <w:sz w:val="28"/>
          <w:szCs w:val="21"/>
        </w:rPr>
      </w:pPr>
      <w:r>
        <w:rPr>
          <w:rFonts w:hint="eastAsia"/>
          <w:sz w:val="28"/>
          <w:szCs w:val="21"/>
        </w:rPr>
        <w:t>（6）休闲度假区如设置</w:t>
      </w:r>
      <w:r>
        <w:rPr>
          <w:sz w:val="28"/>
          <w:szCs w:val="21"/>
        </w:rPr>
        <w:t>索道缆车等在高空运行设备时，可能遭受直接雷击导致缆车弱电系统过压损坏。沿缆绳敷设的架空线路可能遭到直接雷击致设备故障；雷电也可能击到沿缆车支撑杆塔敷设的电源和弱电线路，甚至侵入缆车控制室内导致设备损坏或人身伤亡、线缆起火引发火灾。</w:t>
      </w:r>
    </w:p>
    <w:p>
      <w:pPr>
        <w:widowControl/>
        <w:spacing w:after="120" w:line="500" w:lineRule="exact"/>
        <w:ind w:firstLine="560" w:firstLineChars="200"/>
        <w:rPr>
          <w:sz w:val="28"/>
          <w:szCs w:val="21"/>
        </w:rPr>
      </w:pPr>
      <w:r>
        <w:rPr>
          <w:rFonts w:hint="eastAsia"/>
          <w:sz w:val="28"/>
          <w:szCs w:val="21"/>
        </w:rPr>
        <w:t>（7）雷闪时，户外活动会使人容易受雷击。如，雷电闪击时，在山顶、山坡，山脊上，在辽阔的田野上行走，快速骑行；在泳池、河面、海面上游泳；站在高楼的天台、户外大型设备顶端、山顶裸露的高处、站在大树底下等等。雷电直接袭击人时，雷电流通过身体，可导致假死、昏迷、呼吸和心脏停止跳动等，导致人身伤亡事故。雷电还可能击中其他物体如建构筑物、大树、电杆等，形成高电位，人体接触后发生触电伤亡事故，或者高电压击穿空气触及附近人员，造成人身伤亡。</w:t>
      </w:r>
    </w:p>
    <w:p>
      <w:pPr>
        <w:widowControl/>
        <w:spacing w:after="120" w:line="500" w:lineRule="exact"/>
        <w:ind w:firstLine="560" w:firstLineChars="200"/>
        <w:rPr>
          <w:sz w:val="28"/>
          <w:szCs w:val="21"/>
        </w:rPr>
      </w:pPr>
      <w:r>
        <w:rPr>
          <w:rFonts w:hint="eastAsia"/>
          <w:sz w:val="28"/>
          <w:szCs w:val="21"/>
        </w:rPr>
        <w:t>（8）</w:t>
      </w:r>
      <w:r>
        <w:rPr>
          <w:sz w:val="28"/>
          <w:szCs w:val="21"/>
        </w:rPr>
        <w:t>当有雷雨云经过区域上空或附近时，由于静电感应会在电源线路、通信线路、信号线路、金属屋顶上感应出极性相反的静电荷，当雷云放电后，这些静电荷由于不能及时入地会产生过电压（流）损坏设备或产生放电火花。云内闪和云际闪产生的雷电电磁脉冲（LEMP）可引起</w:t>
      </w:r>
      <w:r>
        <w:rPr>
          <w:rFonts w:hint="eastAsia"/>
          <w:sz w:val="28"/>
          <w:szCs w:val="21"/>
        </w:rPr>
        <w:t>电子电器</w:t>
      </w:r>
      <w:r>
        <w:rPr>
          <w:sz w:val="28"/>
          <w:szCs w:val="21"/>
        </w:rPr>
        <w:t>设备因感应过电压（流）损坏。</w:t>
      </w:r>
    </w:p>
    <w:p>
      <w:pPr>
        <w:widowControl/>
        <w:spacing w:after="120" w:line="500" w:lineRule="exact"/>
        <w:ind w:firstLine="560" w:firstLineChars="200"/>
        <w:rPr>
          <w:sz w:val="28"/>
          <w:szCs w:val="21"/>
        </w:rPr>
      </w:pPr>
      <w:r>
        <w:rPr>
          <w:rFonts w:hint="eastAsia"/>
          <w:sz w:val="28"/>
          <w:szCs w:val="21"/>
        </w:rPr>
        <w:t>（9）</w:t>
      </w:r>
      <w:r>
        <w:rPr>
          <w:sz w:val="28"/>
          <w:szCs w:val="21"/>
        </w:rPr>
        <w:t>雷暴期间可能发生的球形雷窜入室内引起火灾导致人员伤亡。</w:t>
      </w:r>
    </w:p>
    <w:p>
      <w:pPr>
        <w:widowControl/>
        <w:spacing w:after="120" w:line="500" w:lineRule="exact"/>
        <w:ind w:firstLine="560" w:firstLineChars="200"/>
        <w:rPr>
          <w:sz w:val="28"/>
          <w:szCs w:val="21"/>
        </w:rPr>
      </w:pPr>
      <w:r>
        <w:rPr>
          <w:rFonts w:hint="eastAsia"/>
          <w:sz w:val="28"/>
          <w:szCs w:val="21"/>
        </w:rPr>
        <w:t>（10）根据高新区发展规划，区域内将兴建大量建构筑物，人口数量也会大幅度增加。从广东其他地区雷电活动的发展来看，下垫层的改变对雷电活动有明显影响。本报告中的地闪密度数据是基于1999-2019年的闪电监测网数据，根据其他地区的数据对比经验，区域的发展建设会使该地区的地闪增多，地闪密度增大，雷灾增多，在清远高新区区域防雷安全管理中需密切关注该区域的地闪变化规律。</w:t>
      </w:r>
    </w:p>
    <w:p>
      <w:pPr>
        <w:widowControl/>
        <w:spacing w:after="120" w:line="500" w:lineRule="exact"/>
        <w:ind w:firstLine="560" w:firstLineChars="200"/>
        <w:rPr>
          <w:sz w:val="28"/>
          <w:szCs w:val="21"/>
        </w:rPr>
      </w:pPr>
      <w:r>
        <w:rPr>
          <w:rFonts w:hint="eastAsia"/>
          <w:sz w:val="28"/>
          <w:szCs w:val="21"/>
        </w:rPr>
        <w:t>清远高新区各园区主要存在如下雷电风险，见表</w:t>
      </w:r>
      <w:r>
        <w:rPr>
          <w:rFonts w:hint="eastAsia"/>
          <w:color w:val="000000"/>
          <w:sz w:val="28"/>
          <w:szCs w:val="21"/>
        </w:rPr>
        <w:t>8</w:t>
      </w:r>
      <w:r>
        <w:rPr>
          <w:color w:val="000000"/>
          <w:sz w:val="28"/>
          <w:szCs w:val="21"/>
        </w:rPr>
        <w:t>.</w:t>
      </w:r>
      <w:r>
        <w:rPr>
          <w:rFonts w:hint="eastAsia"/>
          <w:color w:val="000000"/>
          <w:sz w:val="28"/>
          <w:szCs w:val="21"/>
        </w:rPr>
        <w:t>5</w:t>
      </w:r>
      <w:r>
        <w:rPr>
          <w:color w:val="000000"/>
          <w:sz w:val="28"/>
          <w:szCs w:val="21"/>
        </w:rPr>
        <w:t>-</w:t>
      </w:r>
      <w:r>
        <w:rPr>
          <w:rFonts w:hint="eastAsia"/>
          <w:sz w:val="28"/>
          <w:szCs w:val="21"/>
        </w:rPr>
        <w:t>1。</w:t>
      </w:r>
    </w:p>
    <w:p>
      <w:pPr>
        <w:keepNext/>
        <w:snapToGrid w:val="0"/>
        <w:spacing w:after="120" w:line="500" w:lineRule="exact"/>
        <w:jc w:val="center"/>
        <w:outlineLvl w:val="7"/>
        <w:rPr>
          <w:rFonts w:eastAsia="黑体"/>
          <w:kern w:val="0"/>
          <w:sz w:val="24"/>
          <w:szCs w:val="21"/>
          <w:lang w:val="en-GB"/>
        </w:rPr>
      </w:pPr>
      <w:r>
        <w:rPr>
          <w:rFonts w:eastAsia="黑体"/>
          <w:kern w:val="0"/>
          <w:sz w:val="24"/>
          <w:szCs w:val="21"/>
          <w:lang w:val="en-GB"/>
        </w:rPr>
        <w:t>表8.5-1</w:t>
      </w:r>
      <w:r>
        <w:rPr>
          <w:rFonts w:hint="eastAsia" w:eastAsia="黑体"/>
          <w:kern w:val="0"/>
          <w:sz w:val="24"/>
          <w:szCs w:val="21"/>
          <w:lang w:val="en-GB"/>
        </w:rPr>
        <w:t xml:space="preserve"> </w:t>
      </w:r>
      <w:r>
        <w:rPr>
          <w:rFonts w:eastAsia="黑体"/>
          <w:kern w:val="0"/>
          <w:sz w:val="24"/>
          <w:szCs w:val="21"/>
          <w:lang w:val="en-GB"/>
        </w:rPr>
        <w:t xml:space="preserve"> </w:t>
      </w:r>
      <w:r>
        <w:rPr>
          <w:rFonts w:hint="eastAsia" w:eastAsia="黑体"/>
          <w:kern w:val="0"/>
          <w:sz w:val="24"/>
          <w:szCs w:val="21"/>
          <w:lang w:val="en-GB"/>
        </w:rPr>
        <w:t>清远高新区各园区主要雷电风险</w:t>
      </w:r>
      <w:r>
        <w:rPr>
          <w:rFonts w:eastAsia="黑体"/>
          <w:kern w:val="0"/>
          <w:sz w:val="24"/>
          <w:szCs w:val="21"/>
          <w:lang w:val="en-GB"/>
        </w:rPr>
        <w:t>辨识</w:t>
      </w:r>
    </w:p>
    <w:tbl>
      <w:tblPr>
        <w:tblStyle w:val="5"/>
        <w:tblW w:w="935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79"/>
        <w:gridCol w:w="4879"/>
        <w:gridCol w:w="30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62" w:type="dxa"/>
            <w:vAlign w:val="center"/>
          </w:tcPr>
          <w:p>
            <w:pPr>
              <w:widowControl/>
              <w:jc w:val="center"/>
              <w:rPr>
                <w:rFonts w:ascii="宋体" w:hAnsi="宋体"/>
                <w:b/>
                <w:szCs w:val="21"/>
              </w:rPr>
            </w:pPr>
            <w:bookmarkStart w:id="43" w:name="_Hlk523690313"/>
            <w:r>
              <w:rPr>
                <w:rFonts w:hint="eastAsia" w:ascii="宋体" w:hAnsi="宋体"/>
                <w:b/>
                <w:szCs w:val="21"/>
              </w:rPr>
              <w:t>园区名称</w:t>
            </w:r>
          </w:p>
        </w:tc>
        <w:tc>
          <w:tcPr>
            <w:tcW w:w="4820" w:type="dxa"/>
            <w:vAlign w:val="center"/>
          </w:tcPr>
          <w:p>
            <w:pPr>
              <w:widowControl/>
              <w:jc w:val="center"/>
              <w:rPr>
                <w:rFonts w:ascii="宋体" w:hAnsi="宋体"/>
                <w:b/>
                <w:szCs w:val="21"/>
              </w:rPr>
            </w:pPr>
            <w:r>
              <w:rPr>
                <w:rFonts w:hint="eastAsia" w:ascii="宋体" w:hAnsi="宋体"/>
                <w:b/>
                <w:szCs w:val="21"/>
              </w:rPr>
              <w:t>建设</w:t>
            </w:r>
            <w:r>
              <w:rPr>
                <w:rFonts w:ascii="宋体" w:hAnsi="宋体"/>
                <w:b/>
                <w:szCs w:val="21"/>
              </w:rPr>
              <w:t>内容</w:t>
            </w:r>
          </w:p>
        </w:tc>
        <w:tc>
          <w:tcPr>
            <w:tcW w:w="3060" w:type="dxa"/>
            <w:vAlign w:val="center"/>
          </w:tcPr>
          <w:p>
            <w:pPr>
              <w:widowControl/>
              <w:jc w:val="center"/>
              <w:rPr>
                <w:rFonts w:ascii="宋体" w:hAnsi="宋体"/>
                <w:b/>
                <w:szCs w:val="21"/>
              </w:rPr>
            </w:pPr>
            <w:r>
              <w:rPr>
                <w:rFonts w:hint="eastAsia" w:ascii="宋体" w:hAnsi="宋体"/>
                <w:b/>
                <w:szCs w:val="21"/>
              </w:rPr>
              <w:t>主要雷电风险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62" w:type="dxa"/>
            <w:vAlign w:val="center"/>
          </w:tcPr>
          <w:p>
            <w:pPr>
              <w:widowControl/>
              <w:jc w:val="center"/>
              <w:rPr>
                <w:szCs w:val="21"/>
              </w:rPr>
            </w:pPr>
            <w:r>
              <w:rPr>
                <w:rFonts w:hint="eastAsia"/>
                <w:szCs w:val="21"/>
              </w:rPr>
              <w:t>百嘉科技园</w:t>
            </w:r>
          </w:p>
        </w:tc>
        <w:tc>
          <w:tcPr>
            <w:tcW w:w="4820" w:type="dxa"/>
            <w:vAlign w:val="center"/>
          </w:tcPr>
          <w:p>
            <w:pPr>
              <w:widowControl/>
              <w:spacing w:before="60" w:after="60" w:line="260" w:lineRule="exact"/>
              <w:jc w:val="left"/>
              <w:rPr>
                <w:szCs w:val="21"/>
              </w:rPr>
            </w:pPr>
            <w:r>
              <w:rPr>
                <w:szCs w:val="21"/>
              </w:rPr>
              <w:t>目前园区以</w:t>
            </w:r>
            <w:r>
              <w:rPr>
                <w:rFonts w:hint="eastAsia"/>
                <w:szCs w:val="21"/>
              </w:rPr>
              <w:t>工业生产为主，工业企业共有 102 家。未来主导发展科技创新产业，引进了天安智谷、华南 863 等一批创新型产学研服务平台。</w:t>
            </w:r>
          </w:p>
        </w:tc>
        <w:tc>
          <w:tcPr>
            <w:tcW w:w="3060" w:type="dxa"/>
            <w:vAlign w:val="center"/>
          </w:tcPr>
          <w:p>
            <w:pPr>
              <w:widowControl/>
              <w:spacing w:line="260" w:lineRule="exact"/>
              <w:jc w:val="left"/>
              <w:rPr>
                <w:rFonts w:ascii="宋体" w:hAnsi="宋体"/>
                <w:b/>
                <w:szCs w:val="21"/>
              </w:rPr>
            </w:pPr>
            <w:r>
              <w:rPr>
                <w:rFonts w:ascii="宋体" w:hAnsi="宋体"/>
                <w:szCs w:val="21"/>
              </w:rPr>
              <w:t>建构筑物雷击损坏风险</w:t>
            </w:r>
            <w:r>
              <w:rPr>
                <w:rFonts w:hint="eastAsia" w:ascii="宋体" w:hAnsi="宋体"/>
                <w:szCs w:val="21"/>
              </w:rPr>
              <w:t>、电子电器</w:t>
            </w:r>
            <w:r>
              <w:rPr>
                <w:rFonts w:ascii="宋体" w:hAnsi="宋体"/>
                <w:szCs w:val="21"/>
              </w:rPr>
              <w:t>设备</w:t>
            </w:r>
            <w:r>
              <w:rPr>
                <w:rFonts w:hint="eastAsia" w:ascii="宋体" w:hAnsi="宋体"/>
                <w:szCs w:val="21"/>
              </w:rPr>
              <w:t>损坏</w:t>
            </w:r>
            <w:r>
              <w:rPr>
                <w:rFonts w:ascii="宋体" w:hAnsi="宋体"/>
                <w:szCs w:val="21"/>
              </w:rPr>
              <w:t>风险</w:t>
            </w:r>
            <w:r>
              <w:rPr>
                <w:rFonts w:hint="eastAsia" w:ascii="宋体" w:hAnsi="宋体"/>
                <w:szCs w:val="21"/>
              </w:rPr>
              <w:t>、</w:t>
            </w:r>
            <w:r>
              <w:rPr>
                <w:rFonts w:ascii="宋体" w:hAnsi="宋体"/>
                <w:szCs w:val="21"/>
              </w:rPr>
              <w:t>人身伤亡风险</w:t>
            </w:r>
            <w:r>
              <w:rPr>
                <w:rFonts w:hint="eastAsia" w:ascii="宋体" w:hAnsi="宋体"/>
                <w:szCs w:val="21"/>
              </w:rPr>
              <w:t>、因雷击导致着火爆炸风险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62" w:type="dxa"/>
            <w:vAlign w:val="center"/>
          </w:tcPr>
          <w:p>
            <w:pPr>
              <w:widowControl/>
              <w:spacing w:line="260" w:lineRule="exact"/>
              <w:jc w:val="center"/>
              <w:rPr>
                <w:szCs w:val="21"/>
              </w:rPr>
            </w:pPr>
            <w:r>
              <w:rPr>
                <w:rFonts w:hint="eastAsia"/>
                <w:szCs w:val="21"/>
              </w:rPr>
              <w:t>银源工业小区</w:t>
            </w:r>
          </w:p>
        </w:tc>
        <w:tc>
          <w:tcPr>
            <w:tcW w:w="4820" w:type="dxa"/>
            <w:vAlign w:val="center"/>
          </w:tcPr>
          <w:p>
            <w:pPr>
              <w:widowControl/>
              <w:spacing w:before="60" w:after="60" w:line="260" w:lineRule="exact"/>
              <w:jc w:val="left"/>
              <w:rPr>
                <w:szCs w:val="21"/>
              </w:rPr>
            </w:pPr>
            <w:r>
              <w:rPr>
                <w:rFonts w:hint="eastAsia"/>
                <w:szCs w:val="21"/>
              </w:rPr>
              <w:t>目前近一半为已建成厂区，入驻企业超过30家。以发展二类工业为主，区域物流、电子商务等为辅，公共设施配套完善的综合型工业小区。</w:t>
            </w:r>
          </w:p>
        </w:tc>
        <w:tc>
          <w:tcPr>
            <w:tcW w:w="3060" w:type="dxa"/>
            <w:vAlign w:val="center"/>
          </w:tcPr>
          <w:p>
            <w:pPr>
              <w:widowControl/>
              <w:spacing w:line="260" w:lineRule="exact"/>
              <w:jc w:val="left"/>
              <w:rPr>
                <w:rFonts w:ascii="宋体" w:hAnsi="宋体"/>
                <w:b/>
                <w:szCs w:val="21"/>
              </w:rPr>
            </w:pPr>
            <w:r>
              <w:rPr>
                <w:rFonts w:hint="eastAsia" w:ascii="宋体" w:hAnsi="宋体"/>
                <w:szCs w:val="21"/>
              </w:rPr>
              <w:t>电子电器</w:t>
            </w:r>
            <w:r>
              <w:rPr>
                <w:rFonts w:ascii="宋体" w:hAnsi="宋体"/>
                <w:szCs w:val="21"/>
              </w:rPr>
              <w:t>设备</w:t>
            </w:r>
            <w:r>
              <w:rPr>
                <w:rFonts w:hint="eastAsia" w:ascii="宋体" w:hAnsi="宋体"/>
                <w:szCs w:val="21"/>
              </w:rPr>
              <w:t>损坏</w:t>
            </w:r>
            <w:r>
              <w:rPr>
                <w:rFonts w:ascii="宋体" w:hAnsi="宋体"/>
                <w:szCs w:val="21"/>
              </w:rPr>
              <w:t>风险</w:t>
            </w:r>
            <w:r>
              <w:rPr>
                <w:rFonts w:hint="eastAsia" w:ascii="宋体" w:hAnsi="宋体"/>
                <w:szCs w:val="21"/>
              </w:rPr>
              <w:t>、</w:t>
            </w:r>
            <w:r>
              <w:rPr>
                <w:rFonts w:ascii="宋体" w:hAnsi="宋体"/>
                <w:szCs w:val="21"/>
              </w:rPr>
              <w:t>建构筑物雷击损坏风险</w:t>
            </w:r>
            <w:r>
              <w:rPr>
                <w:rFonts w:hint="eastAsia" w:ascii="宋体" w:hAnsi="宋体"/>
                <w:szCs w:val="21"/>
              </w:rPr>
              <w:t>、</w:t>
            </w:r>
            <w:r>
              <w:rPr>
                <w:rFonts w:ascii="宋体" w:hAnsi="宋体"/>
                <w:szCs w:val="21"/>
              </w:rPr>
              <w:t>人身伤亡风险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62" w:type="dxa"/>
            <w:vAlign w:val="center"/>
          </w:tcPr>
          <w:p>
            <w:pPr>
              <w:widowControl/>
              <w:jc w:val="center"/>
              <w:rPr>
                <w:szCs w:val="21"/>
              </w:rPr>
            </w:pPr>
            <w:r>
              <w:rPr>
                <w:rFonts w:hint="eastAsia"/>
                <w:szCs w:val="21"/>
              </w:rPr>
              <w:t>莲湖产业园</w:t>
            </w:r>
          </w:p>
        </w:tc>
        <w:tc>
          <w:tcPr>
            <w:tcW w:w="4820" w:type="dxa"/>
            <w:vAlign w:val="center"/>
          </w:tcPr>
          <w:p>
            <w:pPr>
              <w:widowControl/>
              <w:spacing w:before="60" w:after="60" w:line="260" w:lineRule="exact"/>
              <w:jc w:val="left"/>
              <w:rPr>
                <w:szCs w:val="21"/>
              </w:rPr>
            </w:pPr>
            <w:r>
              <w:rPr>
                <w:rFonts w:hint="eastAsia"/>
                <w:szCs w:val="21"/>
              </w:rPr>
              <w:t>现状未开发状态，以丘陵、平原为主，东北部为平原地貌，地形平坦，西北部、中部、南部为丘陵地貌，地形高差及坡度大。以清远现代服务业栖息地和生态建设示范产业园区为发展目标。</w:t>
            </w:r>
          </w:p>
        </w:tc>
        <w:tc>
          <w:tcPr>
            <w:tcW w:w="3060" w:type="dxa"/>
            <w:vAlign w:val="center"/>
          </w:tcPr>
          <w:p>
            <w:pPr>
              <w:widowControl/>
              <w:spacing w:line="260" w:lineRule="exact"/>
              <w:jc w:val="left"/>
              <w:rPr>
                <w:rFonts w:ascii="宋体" w:hAnsi="宋体"/>
                <w:b/>
                <w:szCs w:val="21"/>
              </w:rPr>
            </w:pPr>
            <w:r>
              <w:rPr>
                <w:rFonts w:ascii="宋体" w:hAnsi="宋体"/>
                <w:szCs w:val="21"/>
              </w:rPr>
              <w:t>建构筑物</w:t>
            </w:r>
            <w:r>
              <w:rPr>
                <w:rFonts w:hint="eastAsia" w:ascii="宋体" w:hAnsi="宋体"/>
                <w:szCs w:val="21"/>
              </w:rPr>
              <w:t>、户外大型设备</w:t>
            </w:r>
            <w:r>
              <w:rPr>
                <w:rFonts w:ascii="宋体" w:hAnsi="宋体"/>
                <w:szCs w:val="21"/>
              </w:rPr>
              <w:t>雷击损坏风险</w:t>
            </w:r>
            <w:r>
              <w:rPr>
                <w:rFonts w:hint="eastAsia" w:ascii="宋体" w:hAnsi="宋体"/>
                <w:szCs w:val="21"/>
              </w:rPr>
              <w:t>、电子电器</w:t>
            </w:r>
            <w:r>
              <w:rPr>
                <w:rFonts w:ascii="宋体" w:hAnsi="宋体"/>
                <w:szCs w:val="21"/>
              </w:rPr>
              <w:t>设备</w:t>
            </w:r>
            <w:r>
              <w:rPr>
                <w:rFonts w:hint="eastAsia" w:ascii="宋体" w:hAnsi="宋体"/>
                <w:szCs w:val="21"/>
              </w:rPr>
              <w:t>损坏</w:t>
            </w:r>
            <w:r>
              <w:rPr>
                <w:rFonts w:ascii="宋体" w:hAnsi="宋体"/>
                <w:szCs w:val="21"/>
              </w:rPr>
              <w:t>风险</w:t>
            </w:r>
            <w:r>
              <w:rPr>
                <w:rFonts w:hint="eastAsia" w:ascii="宋体" w:hAnsi="宋体"/>
                <w:szCs w:val="21"/>
              </w:rPr>
              <w:t>、</w:t>
            </w:r>
            <w:r>
              <w:rPr>
                <w:rFonts w:ascii="宋体" w:hAnsi="宋体"/>
                <w:szCs w:val="21"/>
              </w:rPr>
              <w:t>人身伤亡风险</w:t>
            </w:r>
            <w:r>
              <w:rPr>
                <w:rFonts w:hint="eastAsia" w:ascii="宋体" w:hAnsi="宋体"/>
                <w:szCs w:val="21"/>
              </w:rPr>
              <w:t>、因雷击导致着火爆炸风险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362" w:type="dxa"/>
            <w:vAlign w:val="center"/>
          </w:tcPr>
          <w:p>
            <w:pPr>
              <w:widowControl/>
              <w:jc w:val="center"/>
              <w:rPr>
                <w:szCs w:val="21"/>
              </w:rPr>
            </w:pPr>
            <w:r>
              <w:rPr>
                <w:rFonts w:hint="eastAsia"/>
                <w:szCs w:val="21"/>
              </w:rPr>
              <w:t>光电产业园</w:t>
            </w:r>
          </w:p>
        </w:tc>
        <w:tc>
          <w:tcPr>
            <w:tcW w:w="4820" w:type="dxa"/>
            <w:vAlign w:val="center"/>
          </w:tcPr>
          <w:p>
            <w:pPr>
              <w:widowControl/>
              <w:spacing w:before="60" w:after="60" w:line="260" w:lineRule="exact"/>
              <w:jc w:val="left"/>
              <w:rPr>
                <w:szCs w:val="21"/>
                <w:highlight w:val="yellow"/>
              </w:rPr>
            </w:pPr>
            <w:r>
              <w:rPr>
                <w:rFonts w:hint="eastAsia"/>
                <w:szCs w:val="21"/>
              </w:rPr>
              <w:t>现有两个工业区，分别为毅力工业区和长丰工业区，总投资为33.96亿，已投资企业达21家。以光电产业制造高地和生态宜业典范园区为规划目标。</w:t>
            </w:r>
          </w:p>
        </w:tc>
        <w:tc>
          <w:tcPr>
            <w:tcW w:w="3060" w:type="dxa"/>
            <w:vAlign w:val="center"/>
          </w:tcPr>
          <w:p>
            <w:pPr>
              <w:widowControl/>
              <w:spacing w:line="260" w:lineRule="exact"/>
              <w:jc w:val="center"/>
              <w:rPr>
                <w:rFonts w:ascii="宋体" w:hAnsi="宋体"/>
                <w:b/>
                <w:szCs w:val="21"/>
              </w:rPr>
            </w:pPr>
            <w:r>
              <w:rPr>
                <w:rFonts w:ascii="宋体" w:hAnsi="宋体"/>
                <w:szCs w:val="21"/>
              </w:rPr>
              <w:t>建构筑物雷击损坏风险</w:t>
            </w:r>
            <w:r>
              <w:rPr>
                <w:rFonts w:hint="eastAsia" w:ascii="宋体" w:hAnsi="宋体"/>
                <w:szCs w:val="21"/>
              </w:rPr>
              <w:t>、电子电器</w:t>
            </w:r>
            <w:r>
              <w:rPr>
                <w:rFonts w:ascii="宋体" w:hAnsi="宋体"/>
                <w:szCs w:val="21"/>
              </w:rPr>
              <w:t>设备</w:t>
            </w:r>
            <w:r>
              <w:rPr>
                <w:rFonts w:hint="eastAsia" w:ascii="宋体" w:hAnsi="宋体"/>
                <w:szCs w:val="21"/>
              </w:rPr>
              <w:t>损坏</w:t>
            </w:r>
            <w:r>
              <w:rPr>
                <w:rFonts w:ascii="宋体" w:hAnsi="宋体"/>
                <w:szCs w:val="21"/>
              </w:rPr>
              <w:t>风险</w:t>
            </w:r>
            <w:r>
              <w:rPr>
                <w:rFonts w:hint="eastAsia" w:ascii="宋体" w:hAnsi="宋体"/>
                <w:szCs w:val="21"/>
              </w:rPr>
              <w:t>、</w:t>
            </w:r>
            <w:r>
              <w:rPr>
                <w:rFonts w:ascii="宋体" w:hAnsi="宋体"/>
                <w:szCs w:val="21"/>
              </w:rPr>
              <w:t>人身伤亡风险</w:t>
            </w:r>
            <w:r>
              <w:rPr>
                <w:rFonts w:hint="eastAsia" w:ascii="宋体" w:hAnsi="宋体"/>
                <w:szCs w:val="21"/>
              </w:rPr>
              <w:t>、因雷击导致着火爆炸风险</w:t>
            </w:r>
          </w:p>
        </w:tc>
      </w:tr>
    </w:tbl>
    <w:p>
      <w:pPr>
        <w:keepNext/>
        <w:snapToGrid w:val="0"/>
        <w:spacing w:after="120" w:line="500" w:lineRule="exact"/>
        <w:jc w:val="left"/>
        <w:outlineLvl w:val="7"/>
        <w:rPr>
          <w:rFonts w:hint="eastAsia" w:eastAsia="黑体"/>
          <w:kern w:val="0"/>
          <w:sz w:val="24"/>
          <w:szCs w:val="21"/>
          <w:lang w:val="en-GB"/>
        </w:rPr>
      </w:pPr>
    </w:p>
    <w:tbl>
      <w:tblPr>
        <w:tblStyle w:val="5"/>
        <w:tblW w:w="907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77"/>
        <w:gridCol w:w="4536"/>
        <w:gridCol w:w="3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77" w:type="dxa"/>
            <w:vAlign w:val="center"/>
          </w:tcPr>
          <w:p>
            <w:pPr>
              <w:widowControl/>
              <w:jc w:val="center"/>
              <w:rPr>
                <w:rFonts w:ascii="宋体" w:hAnsi="宋体"/>
                <w:b/>
                <w:szCs w:val="21"/>
              </w:rPr>
            </w:pPr>
            <w:r>
              <w:rPr>
                <w:rFonts w:hint="eastAsia" w:ascii="宋体" w:hAnsi="宋体"/>
                <w:b/>
                <w:szCs w:val="21"/>
              </w:rPr>
              <w:t>园区名称</w:t>
            </w:r>
          </w:p>
        </w:tc>
        <w:tc>
          <w:tcPr>
            <w:tcW w:w="4536" w:type="dxa"/>
            <w:vAlign w:val="center"/>
          </w:tcPr>
          <w:p>
            <w:pPr>
              <w:widowControl/>
              <w:jc w:val="center"/>
              <w:rPr>
                <w:rFonts w:ascii="宋体" w:hAnsi="宋体"/>
                <w:b/>
                <w:szCs w:val="21"/>
              </w:rPr>
            </w:pPr>
            <w:r>
              <w:rPr>
                <w:rFonts w:hint="eastAsia" w:ascii="宋体" w:hAnsi="宋体"/>
                <w:b/>
                <w:szCs w:val="21"/>
              </w:rPr>
              <w:t>建设</w:t>
            </w:r>
            <w:r>
              <w:rPr>
                <w:rFonts w:ascii="宋体" w:hAnsi="宋体"/>
                <w:b/>
                <w:szCs w:val="21"/>
              </w:rPr>
              <w:t>内容</w:t>
            </w:r>
          </w:p>
        </w:tc>
        <w:tc>
          <w:tcPr>
            <w:tcW w:w="3259" w:type="dxa"/>
            <w:vAlign w:val="center"/>
          </w:tcPr>
          <w:p>
            <w:pPr>
              <w:widowControl/>
              <w:jc w:val="center"/>
              <w:rPr>
                <w:rFonts w:ascii="宋体" w:hAnsi="宋体"/>
                <w:b/>
                <w:szCs w:val="21"/>
              </w:rPr>
            </w:pPr>
            <w:r>
              <w:rPr>
                <w:rFonts w:hint="eastAsia" w:ascii="宋体" w:hAnsi="宋体"/>
                <w:b/>
                <w:szCs w:val="21"/>
              </w:rPr>
              <w:t>主要雷电风险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77" w:type="dxa"/>
            <w:vAlign w:val="center"/>
          </w:tcPr>
          <w:p>
            <w:pPr>
              <w:widowControl/>
              <w:jc w:val="center"/>
              <w:rPr>
                <w:szCs w:val="21"/>
              </w:rPr>
            </w:pPr>
            <w:r>
              <w:rPr>
                <w:rFonts w:hint="eastAsia"/>
                <w:szCs w:val="21"/>
              </w:rPr>
              <w:t>雄兴工业园</w:t>
            </w:r>
          </w:p>
        </w:tc>
        <w:tc>
          <w:tcPr>
            <w:tcW w:w="4536" w:type="dxa"/>
            <w:vAlign w:val="center"/>
          </w:tcPr>
          <w:p>
            <w:pPr>
              <w:widowControl/>
              <w:spacing w:before="60" w:after="60" w:line="260" w:lineRule="exact"/>
              <w:jc w:val="left"/>
              <w:rPr>
                <w:szCs w:val="21"/>
              </w:rPr>
            </w:pPr>
            <w:r>
              <w:rPr>
                <w:rFonts w:hint="eastAsia"/>
                <w:szCs w:val="21"/>
              </w:rPr>
              <w:t>目前园区一期内入驻企业32家，主要涵盖化工制造、建材五金、汽车及配件、节能环保等行业。园区以可持续发展的生态型、环保型工业园为规划定位。</w:t>
            </w:r>
          </w:p>
        </w:tc>
        <w:tc>
          <w:tcPr>
            <w:tcW w:w="3259" w:type="dxa"/>
            <w:vAlign w:val="center"/>
          </w:tcPr>
          <w:p>
            <w:pPr>
              <w:widowControl/>
              <w:spacing w:line="260" w:lineRule="exact"/>
              <w:jc w:val="center"/>
              <w:rPr>
                <w:rFonts w:ascii="宋体" w:hAnsi="宋体"/>
                <w:b/>
                <w:szCs w:val="21"/>
              </w:rPr>
            </w:pPr>
            <w:r>
              <w:rPr>
                <w:rFonts w:ascii="宋体" w:hAnsi="宋体"/>
                <w:szCs w:val="21"/>
              </w:rPr>
              <w:t>建构筑物雷击损坏风险</w:t>
            </w:r>
            <w:r>
              <w:rPr>
                <w:rFonts w:hint="eastAsia" w:ascii="宋体" w:hAnsi="宋体"/>
                <w:szCs w:val="21"/>
              </w:rPr>
              <w:t>、电子电器</w:t>
            </w:r>
            <w:r>
              <w:rPr>
                <w:rFonts w:ascii="宋体" w:hAnsi="宋体"/>
                <w:szCs w:val="21"/>
              </w:rPr>
              <w:t>设备</w:t>
            </w:r>
            <w:r>
              <w:rPr>
                <w:rFonts w:hint="eastAsia" w:ascii="宋体" w:hAnsi="宋体"/>
                <w:szCs w:val="21"/>
              </w:rPr>
              <w:t>损坏</w:t>
            </w:r>
            <w:r>
              <w:rPr>
                <w:rFonts w:ascii="宋体" w:hAnsi="宋体"/>
                <w:szCs w:val="21"/>
              </w:rPr>
              <w:t>风险</w:t>
            </w:r>
            <w:r>
              <w:rPr>
                <w:rFonts w:hint="eastAsia" w:ascii="宋体" w:hAnsi="宋体"/>
                <w:szCs w:val="21"/>
              </w:rPr>
              <w:t>、</w:t>
            </w:r>
            <w:r>
              <w:rPr>
                <w:rFonts w:ascii="宋体" w:hAnsi="宋体"/>
                <w:szCs w:val="21"/>
              </w:rPr>
              <w:t>人身伤亡风险</w:t>
            </w:r>
            <w:r>
              <w:rPr>
                <w:rFonts w:hint="eastAsia" w:ascii="宋体" w:hAnsi="宋体"/>
                <w:szCs w:val="21"/>
              </w:rPr>
              <w:t>、因雷击导致着火爆炸风险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77" w:type="dxa"/>
            <w:vAlign w:val="center"/>
          </w:tcPr>
          <w:p>
            <w:pPr>
              <w:widowControl/>
              <w:jc w:val="center"/>
              <w:rPr>
                <w:szCs w:val="21"/>
              </w:rPr>
            </w:pPr>
            <w:r>
              <w:rPr>
                <w:rFonts w:hint="eastAsia"/>
                <w:szCs w:val="21"/>
              </w:rPr>
              <w:t>嘉福工业园</w:t>
            </w:r>
          </w:p>
        </w:tc>
        <w:tc>
          <w:tcPr>
            <w:tcW w:w="4536" w:type="dxa"/>
            <w:vAlign w:val="center"/>
          </w:tcPr>
          <w:p>
            <w:pPr>
              <w:widowControl/>
              <w:spacing w:before="60" w:after="60" w:line="260" w:lineRule="exact"/>
              <w:rPr>
                <w:szCs w:val="21"/>
              </w:rPr>
            </w:pPr>
            <w:r>
              <w:rPr>
                <w:rFonts w:hint="eastAsia"/>
                <w:szCs w:val="21"/>
              </w:rPr>
              <w:t>嘉福一期工业园发展相对成熟，现有入驻企业超过30家，经营不锈钢、皮革制品、汽车配套用品等。二期以“一个现代的，配套较为完善的高新科技型工业区”为功能定位。</w:t>
            </w:r>
          </w:p>
        </w:tc>
        <w:tc>
          <w:tcPr>
            <w:tcW w:w="3259" w:type="dxa"/>
            <w:vAlign w:val="center"/>
          </w:tcPr>
          <w:p>
            <w:pPr>
              <w:widowControl/>
              <w:spacing w:line="260" w:lineRule="exact"/>
              <w:jc w:val="center"/>
              <w:rPr>
                <w:rFonts w:ascii="宋体" w:hAnsi="宋体"/>
                <w:b/>
                <w:szCs w:val="21"/>
              </w:rPr>
            </w:pPr>
            <w:r>
              <w:rPr>
                <w:rFonts w:hint="eastAsia" w:ascii="宋体" w:hAnsi="宋体"/>
                <w:szCs w:val="21"/>
              </w:rPr>
              <w:t>电子电器</w:t>
            </w:r>
            <w:r>
              <w:rPr>
                <w:rFonts w:ascii="宋体" w:hAnsi="宋体"/>
                <w:szCs w:val="21"/>
              </w:rPr>
              <w:t>设备</w:t>
            </w:r>
            <w:r>
              <w:rPr>
                <w:rFonts w:hint="eastAsia" w:ascii="宋体" w:hAnsi="宋体"/>
                <w:szCs w:val="21"/>
              </w:rPr>
              <w:t>损坏</w:t>
            </w:r>
            <w:r>
              <w:rPr>
                <w:rFonts w:ascii="宋体" w:hAnsi="宋体"/>
                <w:szCs w:val="21"/>
              </w:rPr>
              <w:t>风险</w:t>
            </w:r>
            <w:r>
              <w:rPr>
                <w:rFonts w:hint="eastAsia" w:ascii="宋体" w:hAnsi="宋体"/>
                <w:szCs w:val="21"/>
              </w:rPr>
              <w:t>、</w:t>
            </w:r>
            <w:r>
              <w:rPr>
                <w:rFonts w:ascii="宋体" w:hAnsi="宋体"/>
                <w:szCs w:val="21"/>
              </w:rPr>
              <w:t>建构筑物雷击损坏风险</w:t>
            </w:r>
            <w:r>
              <w:rPr>
                <w:rFonts w:hint="eastAsia" w:ascii="宋体" w:hAnsi="宋体"/>
                <w:szCs w:val="21"/>
              </w:rPr>
              <w:t>、</w:t>
            </w:r>
            <w:r>
              <w:rPr>
                <w:rFonts w:ascii="宋体" w:hAnsi="宋体"/>
                <w:szCs w:val="21"/>
              </w:rPr>
              <w:t>人身伤亡风险</w:t>
            </w:r>
            <w:r>
              <w:rPr>
                <w:rFonts w:hint="eastAsia" w:ascii="宋体" w:hAnsi="宋体"/>
                <w:szCs w:val="21"/>
              </w:rPr>
              <w:t>、因雷击导致着火爆炸风险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77" w:type="dxa"/>
            <w:vAlign w:val="center"/>
          </w:tcPr>
          <w:p>
            <w:pPr>
              <w:widowControl/>
              <w:jc w:val="center"/>
              <w:rPr>
                <w:szCs w:val="21"/>
              </w:rPr>
            </w:pPr>
            <w:r>
              <w:rPr>
                <w:rFonts w:hint="eastAsia"/>
                <w:szCs w:val="21"/>
              </w:rPr>
              <w:t>泰基工业园</w:t>
            </w:r>
          </w:p>
        </w:tc>
        <w:tc>
          <w:tcPr>
            <w:tcW w:w="4536" w:type="dxa"/>
            <w:vAlign w:val="center"/>
          </w:tcPr>
          <w:p>
            <w:pPr>
              <w:widowControl/>
              <w:spacing w:before="60" w:after="60" w:line="260" w:lineRule="exact"/>
              <w:jc w:val="left"/>
              <w:rPr>
                <w:szCs w:val="21"/>
              </w:rPr>
            </w:pPr>
            <w:r>
              <w:rPr>
                <w:rFonts w:hint="eastAsia"/>
                <w:szCs w:val="21"/>
              </w:rPr>
              <w:t>泰基工业园为建成区，主要分为泰基生活区和泰基工业厂区。现有入驻企业15家，主要为金属制品、化工、油墨、电子类。以形象提升、功能完善为主。</w:t>
            </w:r>
          </w:p>
        </w:tc>
        <w:tc>
          <w:tcPr>
            <w:tcW w:w="3259" w:type="dxa"/>
            <w:vAlign w:val="center"/>
          </w:tcPr>
          <w:p>
            <w:pPr>
              <w:widowControl/>
              <w:spacing w:line="260" w:lineRule="exact"/>
              <w:jc w:val="center"/>
              <w:rPr>
                <w:rFonts w:ascii="宋体" w:hAnsi="宋体"/>
                <w:b/>
                <w:szCs w:val="21"/>
              </w:rPr>
            </w:pPr>
            <w:r>
              <w:rPr>
                <w:rFonts w:hint="eastAsia" w:ascii="宋体" w:hAnsi="宋体"/>
                <w:szCs w:val="21"/>
              </w:rPr>
              <w:t>电子电器</w:t>
            </w:r>
            <w:r>
              <w:rPr>
                <w:rFonts w:ascii="宋体" w:hAnsi="宋体"/>
                <w:szCs w:val="21"/>
              </w:rPr>
              <w:t>设备</w:t>
            </w:r>
            <w:r>
              <w:rPr>
                <w:rFonts w:hint="eastAsia" w:ascii="宋体" w:hAnsi="宋体"/>
                <w:szCs w:val="21"/>
              </w:rPr>
              <w:t>损坏</w:t>
            </w:r>
            <w:r>
              <w:rPr>
                <w:rFonts w:ascii="宋体" w:hAnsi="宋体"/>
                <w:szCs w:val="21"/>
              </w:rPr>
              <w:t>风险</w:t>
            </w:r>
            <w:r>
              <w:rPr>
                <w:rFonts w:hint="eastAsia" w:ascii="宋体" w:hAnsi="宋体"/>
                <w:szCs w:val="21"/>
              </w:rPr>
              <w:t>、</w:t>
            </w:r>
            <w:r>
              <w:rPr>
                <w:rFonts w:ascii="宋体" w:hAnsi="宋体"/>
                <w:szCs w:val="21"/>
              </w:rPr>
              <w:t>建构筑物雷击损坏风险</w:t>
            </w:r>
            <w:r>
              <w:rPr>
                <w:rFonts w:hint="eastAsia" w:ascii="宋体" w:hAnsi="宋体"/>
                <w:szCs w:val="21"/>
              </w:rPr>
              <w:t>、</w:t>
            </w:r>
            <w:r>
              <w:rPr>
                <w:rFonts w:ascii="宋体" w:hAnsi="宋体"/>
                <w:szCs w:val="21"/>
              </w:rPr>
              <w:t>人身伤亡风险</w:t>
            </w:r>
            <w:r>
              <w:rPr>
                <w:rFonts w:hint="eastAsia" w:ascii="宋体" w:hAnsi="宋体"/>
                <w:szCs w:val="21"/>
              </w:rPr>
              <w:t>、因雷击导致着火爆炸风险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277" w:type="dxa"/>
            <w:vAlign w:val="center"/>
          </w:tcPr>
          <w:p>
            <w:pPr>
              <w:widowControl/>
              <w:spacing w:line="260" w:lineRule="exact"/>
              <w:jc w:val="center"/>
              <w:rPr>
                <w:szCs w:val="21"/>
              </w:rPr>
            </w:pPr>
            <w:r>
              <w:rPr>
                <w:rFonts w:hint="eastAsia"/>
                <w:szCs w:val="21"/>
              </w:rPr>
              <w:t>电子信息产业园</w:t>
            </w:r>
          </w:p>
        </w:tc>
        <w:tc>
          <w:tcPr>
            <w:tcW w:w="4536" w:type="dxa"/>
            <w:vAlign w:val="center"/>
          </w:tcPr>
          <w:p>
            <w:pPr>
              <w:widowControl/>
              <w:spacing w:before="60" w:after="60" w:line="260" w:lineRule="exact"/>
              <w:jc w:val="left"/>
              <w:rPr>
                <w:szCs w:val="21"/>
              </w:rPr>
            </w:pPr>
            <w:r>
              <w:rPr>
                <w:rFonts w:hint="eastAsia"/>
                <w:szCs w:val="21"/>
              </w:rPr>
              <w:t>现状基本未开发，以丘陵、平原为主，东北部为平原地貌，地形平坦；中部、南部为丘陵地貌，地形高差及坡度大。以绿色总部基地、先进制造业基地、休闲服务业基地为发展目标。</w:t>
            </w:r>
            <w:bookmarkStart w:id="45" w:name="_GoBack"/>
            <w:bookmarkEnd w:id="45"/>
          </w:p>
        </w:tc>
        <w:tc>
          <w:tcPr>
            <w:tcW w:w="3259" w:type="dxa"/>
            <w:vAlign w:val="center"/>
          </w:tcPr>
          <w:p>
            <w:pPr>
              <w:widowControl/>
              <w:spacing w:line="260" w:lineRule="exact"/>
              <w:jc w:val="center"/>
              <w:rPr>
                <w:rFonts w:ascii="宋体" w:hAnsi="宋体"/>
                <w:b/>
                <w:szCs w:val="21"/>
              </w:rPr>
            </w:pPr>
            <w:r>
              <w:rPr>
                <w:rFonts w:hint="eastAsia" w:ascii="宋体" w:hAnsi="宋体"/>
                <w:szCs w:val="21"/>
              </w:rPr>
              <w:t>电子电器</w:t>
            </w:r>
            <w:r>
              <w:rPr>
                <w:rFonts w:ascii="宋体" w:hAnsi="宋体"/>
                <w:szCs w:val="21"/>
              </w:rPr>
              <w:t>设备</w:t>
            </w:r>
            <w:r>
              <w:rPr>
                <w:rFonts w:hint="eastAsia" w:ascii="宋体" w:hAnsi="宋体"/>
                <w:szCs w:val="21"/>
              </w:rPr>
              <w:t>损坏</w:t>
            </w:r>
            <w:r>
              <w:rPr>
                <w:rFonts w:ascii="宋体" w:hAnsi="宋体"/>
                <w:szCs w:val="21"/>
              </w:rPr>
              <w:t>风险</w:t>
            </w:r>
            <w:r>
              <w:rPr>
                <w:rFonts w:hint="eastAsia" w:ascii="宋体" w:hAnsi="宋体"/>
                <w:szCs w:val="21"/>
              </w:rPr>
              <w:t>、</w:t>
            </w:r>
            <w:r>
              <w:rPr>
                <w:rFonts w:ascii="宋体" w:hAnsi="宋体"/>
                <w:szCs w:val="21"/>
              </w:rPr>
              <w:t>建构筑物雷击损坏风险</w:t>
            </w:r>
            <w:r>
              <w:rPr>
                <w:rFonts w:hint="eastAsia" w:ascii="宋体" w:hAnsi="宋体"/>
                <w:szCs w:val="21"/>
              </w:rPr>
              <w:t>、</w:t>
            </w:r>
            <w:r>
              <w:rPr>
                <w:rFonts w:ascii="宋体" w:hAnsi="宋体"/>
                <w:szCs w:val="21"/>
              </w:rPr>
              <w:t>人身伤亡风险</w:t>
            </w:r>
          </w:p>
        </w:tc>
      </w:tr>
      <w:bookmarkEnd w:id="43"/>
    </w:tbl>
    <w:p>
      <w:pPr>
        <w:keepNext/>
        <w:keepLines/>
        <w:spacing w:before="156" w:beforeLines="50" w:after="156" w:afterLines="50" w:line="500" w:lineRule="exact"/>
        <w:outlineLvl w:val="2"/>
        <w:rPr>
          <w:rFonts w:eastAsia="黑体"/>
          <w:bCs/>
          <w:sz w:val="28"/>
          <w:szCs w:val="28"/>
        </w:rPr>
      </w:pPr>
      <w:bookmarkStart w:id="44" w:name="_Toc48056605"/>
      <w:r>
        <w:rPr>
          <w:rFonts w:hint="eastAsia" w:eastAsia="黑体"/>
          <w:bCs/>
          <w:sz w:val="28"/>
          <w:szCs w:val="28"/>
        </w:rPr>
        <w:t>8.5.2 区域雷电灾害风险评价</w:t>
      </w:r>
      <w:bookmarkEnd w:id="44"/>
    </w:p>
    <w:p>
      <w:pPr>
        <w:widowControl/>
        <w:spacing w:after="120" w:line="500" w:lineRule="exact"/>
        <w:ind w:firstLine="560" w:firstLineChars="200"/>
        <w:rPr>
          <w:sz w:val="28"/>
          <w:szCs w:val="21"/>
        </w:rPr>
      </w:pPr>
      <w:r>
        <w:rPr>
          <w:rFonts w:hint="eastAsia"/>
          <w:sz w:val="28"/>
          <w:szCs w:val="21"/>
        </w:rPr>
        <w:t>清远高新区各园区的区域雷电风险处于6~8之间，均为较高风险等级，具体如下表：</w:t>
      </w:r>
    </w:p>
    <w:p>
      <w:pPr>
        <w:keepNext/>
        <w:snapToGrid w:val="0"/>
        <w:spacing w:after="120" w:line="500" w:lineRule="exact"/>
        <w:jc w:val="center"/>
        <w:outlineLvl w:val="7"/>
        <w:rPr>
          <w:rFonts w:eastAsia="黑体"/>
          <w:color w:val="000000"/>
          <w:kern w:val="0"/>
          <w:sz w:val="24"/>
          <w:szCs w:val="21"/>
          <w:lang w:val="en-GB"/>
        </w:rPr>
      </w:pPr>
      <w:r>
        <w:rPr>
          <w:rFonts w:hint="eastAsia" w:eastAsia="黑体"/>
          <w:kern w:val="0"/>
          <w:sz w:val="24"/>
          <w:szCs w:val="21"/>
          <w:lang w:val="en-GB"/>
        </w:rPr>
        <w:t xml:space="preserve">表8.5-2  </w:t>
      </w:r>
      <w:r>
        <w:rPr>
          <w:rFonts w:hint="eastAsia" w:eastAsia="黑体"/>
          <w:color w:val="000000"/>
          <w:kern w:val="0"/>
          <w:sz w:val="24"/>
          <w:szCs w:val="21"/>
          <w:lang w:val="en-GB"/>
        </w:rPr>
        <w:t>清远高新区各园区</w:t>
      </w:r>
      <w:r>
        <w:rPr>
          <w:rFonts w:hint="eastAsia" w:eastAsia="黑体"/>
          <w:kern w:val="0"/>
          <w:sz w:val="24"/>
          <w:szCs w:val="21"/>
          <w:lang w:val="en-GB"/>
        </w:rPr>
        <w:t>区域雷电灾害风险</w:t>
      </w:r>
      <w:r>
        <w:rPr>
          <w:rFonts w:hint="eastAsia" w:eastAsia="黑体"/>
          <w:color w:val="000000"/>
          <w:kern w:val="0"/>
          <w:sz w:val="24"/>
          <w:szCs w:val="21"/>
          <w:lang w:val="en-GB"/>
        </w:rPr>
        <w:t>评价结果</w:t>
      </w:r>
    </w:p>
    <w:tbl>
      <w:tblPr>
        <w:tblStyle w:val="15"/>
        <w:tblW w:w="907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560"/>
        <w:gridCol w:w="3256"/>
        <w:gridCol w:w="32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trPr>
        <w:tc>
          <w:tcPr>
            <w:tcW w:w="2560" w:type="dxa"/>
            <w:vAlign w:val="center"/>
          </w:tcPr>
          <w:p>
            <w:pPr>
              <w:jc w:val="center"/>
              <w:rPr>
                <w:color w:val="000000"/>
                <w:kern w:val="0"/>
                <w:szCs w:val="21"/>
                <w:lang w:eastAsia="en-US"/>
              </w:rPr>
            </w:pPr>
            <w:r>
              <w:rPr>
                <w:rFonts w:hint="eastAsia" w:ascii="微软雅黑" w:hAnsi="微软雅黑" w:eastAsia="微软雅黑" w:cs="微软雅黑"/>
                <w:color w:val="000000"/>
                <w:kern w:val="0"/>
                <w:szCs w:val="21"/>
                <w:lang w:eastAsia="en-US"/>
              </w:rPr>
              <w:t>名</w:t>
            </w:r>
            <w:r>
              <w:rPr>
                <w:rFonts w:hint="eastAsia" w:eastAsia="Arial Unicode MS"/>
                <w:color w:val="000000"/>
                <w:kern w:val="0"/>
                <w:szCs w:val="21"/>
                <w:lang w:eastAsia="en-US"/>
              </w:rPr>
              <w:t xml:space="preserve">  </w:t>
            </w:r>
            <w:r>
              <w:rPr>
                <w:rFonts w:hint="eastAsia" w:ascii="微软雅黑" w:hAnsi="微软雅黑" w:eastAsia="微软雅黑" w:cs="微软雅黑"/>
                <w:color w:val="000000"/>
                <w:kern w:val="0"/>
                <w:szCs w:val="21"/>
                <w:lang w:eastAsia="en-US"/>
              </w:rPr>
              <w:t>称</w:t>
            </w:r>
          </w:p>
        </w:tc>
        <w:tc>
          <w:tcPr>
            <w:tcW w:w="3256" w:type="dxa"/>
            <w:vAlign w:val="center"/>
          </w:tcPr>
          <w:p>
            <w:pPr>
              <w:jc w:val="center"/>
              <w:rPr>
                <w:rFonts w:eastAsia="Arial Unicode MS"/>
                <w:color w:val="000000"/>
                <w:kern w:val="0"/>
                <w:szCs w:val="21"/>
                <w:lang w:eastAsia="en-US"/>
              </w:rPr>
            </w:pPr>
            <w:r>
              <w:rPr>
                <w:rFonts w:hint="eastAsia" w:ascii="微软雅黑" w:hAnsi="微软雅黑" w:eastAsia="微软雅黑" w:cs="微软雅黑"/>
                <w:color w:val="000000"/>
                <w:kern w:val="0"/>
                <w:szCs w:val="21"/>
                <w:lang w:eastAsia="en-US"/>
              </w:rPr>
              <w:t>区域雷电灾害风险</w:t>
            </w:r>
          </w:p>
        </w:tc>
        <w:tc>
          <w:tcPr>
            <w:tcW w:w="3256" w:type="dxa"/>
            <w:vAlign w:val="center"/>
          </w:tcPr>
          <w:p>
            <w:pPr>
              <w:jc w:val="center"/>
              <w:rPr>
                <w:rFonts w:eastAsia="Arial Unicode MS"/>
                <w:color w:val="000000"/>
                <w:kern w:val="0"/>
                <w:szCs w:val="21"/>
                <w:lang w:eastAsia="en-US"/>
              </w:rPr>
            </w:pPr>
            <w:r>
              <w:rPr>
                <w:rFonts w:hint="eastAsia" w:ascii="微软雅黑" w:hAnsi="微软雅黑" w:eastAsia="微软雅黑" w:cs="微软雅黑"/>
                <w:color w:val="000000"/>
                <w:kern w:val="0"/>
                <w:szCs w:val="21"/>
                <w:lang w:eastAsia="en-US"/>
              </w:rPr>
              <w:t>风险等级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trPr>
        <w:tc>
          <w:tcPr>
            <w:tcW w:w="2560" w:type="dxa"/>
            <w:vAlign w:val="center"/>
          </w:tcPr>
          <w:p>
            <w:pPr>
              <w:jc w:val="center"/>
              <w:rPr>
                <w:color w:val="000000"/>
                <w:kern w:val="0"/>
                <w:szCs w:val="22"/>
                <w:lang w:eastAsia="en-US"/>
              </w:rPr>
            </w:pPr>
            <w:r>
              <w:rPr>
                <w:rFonts w:hint="eastAsia"/>
                <w:color w:val="000000"/>
                <w:kern w:val="0"/>
                <w:szCs w:val="22"/>
                <w:lang w:eastAsia="en-US"/>
              </w:rPr>
              <w:t>百嘉科技园</w:t>
            </w:r>
          </w:p>
        </w:tc>
        <w:tc>
          <w:tcPr>
            <w:tcW w:w="3256" w:type="dxa"/>
            <w:vAlign w:val="center"/>
          </w:tcPr>
          <w:p>
            <w:pPr>
              <w:jc w:val="center"/>
              <w:rPr>
                <w:color w:val="000000"/>
                <w:kern w:val="0"/>
                <w:szCs w:val="22"/>
                <w:lang w:eastAsia="en-US"/>
              </w:rPr>
            </w:pPr>
            <w:r>
              <w:rPr>
                <w:color w:val="000000"/>
                <w:kern w:val="0"/>
                <w:szCs w:val="22"/>
                <w:lang w:eastAsia="en-US"/>
              </w:rPr>
              <w:t>7.2509</w:t>
            </w:r>
          </w:p>
        </w:tc>
        <w:tc>
          <w:tcPr>
            <w:tcW w:w="3256" w:type="dxa"/>
            <w:vAlign w:val="center"/>
          </w:tcPr>
          <w:p>
            <w:pPr>
              <w:jc w:val="center"/>
              <w:rPr>
                <w:color w:val="000000"/>
                <w:kern w:val="0"/>
                <w:szCs w:val="22"/>
                <w:lang w:eastAsia="en-US"/>
              </w:rPr>
            </w:pPr>
            <w:r>
              <w:rPr>
                <w:rFonts w:hint="eastAsia"/>
                <w:kern w:val="0"/>
                <w:szCs w:val="22"/>
                <w:lang w:eastAsia="en-US"/>
              </w:rPr>
              <w:t>较高风险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trPr>
        <w:tc>
          <w:tcPr>
            <w:tcW w:w="2560" w:type="dxa"/>
            <w:vAlign w:val="center"/>
          </w:tcPr>
          <w:p>
            <w:pPr>
              <w:jc w:val="center"/>
              <w:rPr>
                <w:color w:val="000000"/>
                <w:kern w:val="0"/>
                <w:szCs w:val="22"/>
                <w:lang w:eastAsia="en-US"/>
              </w:rPr>
            </w:pPr>
            <w:r>
              <w:rPr>
                <w:rFonts w:hint="eastAsia"/>
                <w:color w:val="000000"/>
                <w:kern w:val="0"/>
                <w:szCs w:val="22"/>
                <w:lang w:eastAsia="en-US"/>
              </w:rPr>
              <w:t>银源工业小区</w:t>
            </w:r>
          </w:p>
        </w:tc>
        <w:tc>
          <w:tcPr>
            <w:tcW w:w="3256" w:type="dxa"/>
            <w:vAlign w:val="center"/>
          </w:tcPr>
          <w:p>
            <w:pPr>
              <w:jc w:val="center"/>
              <w:rPr>
                <w:color w:val="000000"/>
                <w:kern w:val="0"/>
                <w:szCs w:val="22"/>
                <w:lang w:eastAsia="en-US"/>
              </w:rPr>
            </w:pPr>
            <w:r>
              <w:rPr>
                <w:color w:val="000000"/>
                <w:kern w:val="0"/>
                <w:szCs w:val="22"/>
                <w:lang w:eastAsia="en-US"/>
              </w:rPr>
              <w:t>7.1744</w:t>
            </w:r>
          </w:p>
        </w:tc>
        <w:tc>
          <w:tcPr>
            <w:tcW w:w="3256" w:type="dxa"/>
            <w:vAlign w:val="center"/>
          </w:tcPr>
          <w:p>
            <w:pPr>
              <w:jc w:val="center"/>
              <w:rPr>
                <w:color w:val="000000"/>
                <w:kern w:val="0"/>
                <w:szCs w:val="22"/>
                <w:lang w:eastAsia="en-US"/>
              </w:rPr>
            </w:pPr>
            <w:r>
              <w:rPr>
                <w:rFonts w:hint="eastAsia"/>
                <w:kern w:val="0"/>
                <w:szCs w:val="22"/>
                <w:lang w:eastAsia="en-US"/>
              </w:rPr>
              <w:t>较高风险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trPr>
        <w:tc>
          <w:tcPr>
            <w:tcW w:w="2560" w:type="dxa"/>
            <w:vAlign w:val="center"/>
          </w:tcPr>
          <w:p>
            <w:pPr>
              <w:jc w:val="center"/>
              <w:rPr>
                <w:color w:val="000000"/>
                <w:kern w:val="0"/>
                <w:szCs w:val="22"/>
                <w:lang w:eastAsia="en-US"/>
              </w:rPr>
            </w:pPr>
            <w:r>
              <w:rPr>
                <w:rFonts w:hint="eastAsia"/>
                <w:color w:val="000000"/>
                <w:kern w:val="0"/>
                <w:szCs w:val="22"/>
                <w:lang w:eastAsia="en-US"/>
              </w:rPr>
              <w:t>莲湖产业园</w:t>
            </w:r>
          </w:p>
        </w:tc>
        <w:tc>
          <w:tcPr>
            <w:tcW w:w="3256" w:type="dxa"/>
            <w:vAlign w:val="center"/>
          </w:tcPr>
          <w:p>
            <w:pPr>
              <w:jc w:val="center"/>
              <w:rPr>
                <w:color w:val="000000"/>
                <w:kern w:val="0"/>
                <w:szCs w:val="22"/>
                <w:lang w:eastAsia="en-US"/>
              </w:rPr>
            </w:pPr>
            <w:r>
              <w:rPr>
                <w:color w:val="000000"/>
                <w:kern w:val="0"/>
                <w:szCs w:val="22"/>
                <w:lang w:eastAsia="en-US"/>
              </w:rPr>
              <w:t>6.9229</w:t>
            </w:r>
          </w:p>
        </w:tc>
        <w:tc>
          <w:tcPr>
            <w:tcW w:w="3256" w:type="dxa"/>
            <w:vAlign w:val="center"/>
          </w:tcPr>
          <w:p>
            <w:pPr>
              <w:jc w:val="center"/>
              <w:rPr>
                <w:color w:val="000000"/>
                <w:kern w:val="0"/>
                <w:szCs w:val="22"/>
                <w:lang w:eastAsia="en-US"/>
              </w:rPr>
            </w:pPr>
            <w:r>
              <w:rPr>
                <w:rFonts w:hint="eastAsia"/>
                <w:kern w:val="0"/>
                <w:szCs w:val="22"/>
                <w:lang w:eastAsia="en-US"/>
              </w:rPr>
              <w:t>较高风险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trPr>
        <w:tc>
          <w:tcPr>
            <w:tcW w:w="2560" w:type="dxa"/>
            <w:vAlign w:val="center"/>
          </w:tcPr>
          <w:p>
            <w:pPr>
              <w:jc w:val="center"/>
              <w:rPr>
                <w:color w:val="000000"/>
                <w:kern w:val="0"/>
                <w:szCs w:val="22"/>
                <w:lang w:eastAsia="en-US"/>
              </w:rPr>
            </w:pPr>
            <w:r>
              <w:rPr>
                <w:rFonts w:hint="eastAsia"/>
                <w:color w:val="000000"/>
                <w:kern w:val="0"/>
                <w:szCs w:val="22"/>
                <w:lang w:eastAsia="en-US"/>
              </w:rPr>
              <w:t>光电产业园</w:t>
            </w:r>
          </w:p>
        </w:tc>
        <w:tc>
          <w:tcPr>
            <w:tcW w:w="3256" w:type="dxa"/>
            <w:vAlign w:val="center"/>
          </w:tcPr>
          <w:p>
            <w:pPr>
              <w:jc w:val="center"/>
              <w:rPr>
                <w:color w:val="000000"/>
                <w:kern w:val="0"/>
                <w:szCs w:val="22"/>
                <w:lang w:eastAsia="en-US"/>
              </w:rPr>
            </w:pPr>
            <w:r>
              <w:rPr>
                <w:color w:val="000000"/>
                <w:kern w:val="0"/>
                <w:szCs w:val="22"/>
                <w:lang w:eastAsia="en-US"/>
              </w:rPr>
              <w:t>7.0524</w:t>
            </w:r>
          </w:p>
        </w:tc>
        <w:tc>
          <w:tcPr>
            <w:tcW w:w="3256" w:type="dxa"/>
            <w:vAlign w:val="center"/>
          </w:tcPr>
          <w:p>
            <w:pPr>
              <w:jc w:val="center"/>
              <w:rPr>
                <w:color w:val="000000"/>
                <w:kern w:val="0"/>
                <w:szCs w:val="22"/>
                <w:lang w:eastAsia="en-US"/>
              </w:rPr>
            </w:pPr>
            <w:r>
              <w:rPr>
                <w:rFonts w:hint="eastAsia"/>
                <w:kern w:val="0"/>
                <w:szCs w:val="22"/>
                <w:lang w:eastAsia="en-US"/>
              </w:rPr>
              <w:t>较高风险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trPr>
        <w:tc>
          <w:tcPr>
            <w:tcW w:w="2560" w:type="dxa"/>
            <w:vAlign w:val="center"/>
          </w:tcPr>
          <w:p>
            <w:pPr>
              <w:jc w:val="center"/>
              <w:rPr>
                <w:color w:val="000000"/>
                <w:kern w:val="0"/>
                <w:szCs w:val="22"/>
                <w:lang w:eastAsia="en-US"/>
              </w:rPr>
            </w:pPr>
            <w:r>
              <w:rPr>
                <w:rFonts w:hint="eastAsia"/>
                <w:color w:val="000000"/>
                <w:kern w:val="0"/>
                <w:szCs w:val="22"/>
                <w:lang w:eastAsia="en-US"/>
              </w:rPr>
              <w:t>雄兴工业园</w:t>
            </w:r>
          </w:p>
        </w:tc>
        <w:tc>
          <w:tcPr>
            <w:tcW w:w="3256" w:type="dxa"/>
            <w:vAlign w:val="center"/>
          </w:tcPr>
          <w:p>
            <w:pPr>
              <w:jc w:val="center"/>
              <w:rPr>
                <w:color w:val="000000"/>
                <w:kern w:val="0"/>
                <w:szCs w:val="22"/>
                <w:lang w:eastAsia="en-US"/>
              </w:rPr>
            </w:pPr>
            <w:r>
              <w:rPr>
                <w:color w:val="000000"/>
                <w:kern w:val="0"/>
                <w:szCs w:val="22"/>
                <w:lang w:eastAsia="en-US"/>
              </w:rPr>
              <w:t>7.0623</w:t>
            </w:r>
          </w:p>
        </w:tc>
        <w:tc>
          <w:tcPr>
            <w:tcW w:w="3256" w:type="dxa"/>
            <w:vAlign w:val="center"/>
          </w:tcPr>
          <w:p>
            <w:pPr>
              <w:jc w:val="center"/>
              <w:rPr>
                <w:color w:val="000000"/>
                <w:kern w:val="0"/>
                <w:szCs w:val="22"/>
                <w:lang w:eastAsia="en-US"/>
              </w:rPr>
            </w:pPr>
            <w:r>
              <w:rPr>
                <w:rFonts w:hint="eastAsia"/>
                <w:kern w:val="0"/>
                <w:szCs w:val="22"/>
                <w:lang w:eastAsia="en-US"/>
              </w:rPr>
              <w:t>较高风险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trPr>
        <w:tc>
          <w:tcPr>
            <w:tcW w:w="2560" w:type="dxa"/>
            <w:vAlign w:val="center"/>
          </w:tcPr>
          <w:p>
            <w:pPr>
              <w:jc w:val="center"/>
              <w:rPr>
                <w:color w:val="000000"/>
                <w:kern w:val="0"/>
                <w:szCs w:val="22"/>
                <w:lang w:eastAsia="en-US"/>
              </w:rPr>
            </w:pPr>
            <w:r>
              <w:rPr>
                <w:rFonts w:hint="eastAsia"/>
                <w:color w:val="000000"/>
                <w:kern w:val="0"/>
                <w:szCs w:val="22"/>
                <w:lang w:eastAsia="en-US"/>
              </w:rPr>
              <w:t>嘉福工业园</w:t>
            </w:r>
          </w:p>
        </w:tc>
        <w:tc>
          <w:tcPr>
            <w:tcW w:w="3256" w:type="dxa"/>
            <w:vAlign w:val="center"/>
          </w:tcPr>
          <w:p>
            <w:pPr>
              <w:jc w:val="center"/>
              <w:rPr>
                <w:color w:val="000000"/>
                <w:kern w:val="0"/>
                <w:szCs w:val="22"/>
                <w:lang w:eastAsia="en-US"/>
              </w:rPr>
            </w:pPr>
            <w:r>
              <w:rPr>
                <w:color w:val="000000"/>
                <w:kern w:val="0"/>
                <w:szCs w:val="22"/>
                <w:lang w:eastAsia="en-US"/>
              </w:rPr>
              <w:t>7.0159</w:t>
            </w:r>
          </w:p>
        </w:tc>
        <w:tc>
          <w:tcPr>
            <w:tcW w:w="3256" w:type="dxa"/>
            <w:vAlign w:val="center"/>
          </w:tcPr>
          <w:p>
            <w:pPr>
              <w:jc w:val="center"/>
              <w:rPr>
                <w:color w:val="000000"/>
                <w:kern w:val="0"/>
                <w:szCs w:val="22"/>
                <w:lang w:eastAsia="en-US"/>
              </w:rPr>
            </w:pPr>
            <w:r>
              <w:rPr>
                <w:rFonts w:hint="eastAsia"/>
                <w:kern w:val="0"/>
                <w:szCs w:val="22"/>
                <w:lang w:eastAsia="en-US"/>
              </w:rPr>
              <w:t>较高风险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trPr>
        <w:tc>
          <w:tcPr>
            <w:tcW w:w="2560" w:type="dxa"/>
            <w:vAlign w:val="center"/>
          </w:tcPr>
          <w:p>
            <w:pPr>
              <w:jc w:val="center"/>
              <w:rPr>
                <w:color w:val="000000"/>
                <w:kern w:val="0"/>
                <w:szCs w:val="22"/>
                <w:lang w:eastAsia="en-US"/>
              </w:rPr>
            </w:pPr>
            <w:r>
              <w:rPr>
                <w:rFonts w:hint="eastAsia"/>
                <w:color w:val="000000"/>
                <w:kern w:val="0"/>
                <w:szCs w:val="22"/>
                <w:lang w:eastAsia="en-US"/>
              </w:rPr>
              <w:t>泰基工业园</w:t>
            </w:r>
          </w:p>
        </w:tc>
        <w:tc>
          <w:tcPr>
            <w:tcW w:w="3256" w:type="dxa"/>
            <w:vAlign w:val="center"/>
          </w:tcPr>
          <w:p>
            <w:pPr>
              <w:jc w:val="center"/>
              <w:rPr>
                <w:color w:val="000000"/>
                <w:kern w:val="0"/>
                <w:szCs w:val="22"/>
                <w:lang w:eastAsia="en-US"/>
              </w:rPr>
            </w:pPr>
            <w:r>
              <w:rPr>
                <w:color w:val="000000"/>
                <w:kern w:val="0"/>
                <w:szCs w:val="22"/>
                <w:lang w:eastAsia="en-US"/>
              </w:rPr>
              <w:t>6.4748</w:t>
            </w:r>
          </w:p>
        </w:tc>
        <w:tc>
          <w:tcPr>
            <w:tcW w:w="3256" w:type="dxa"/>
            <w:vAlign w:val="center"/>
          </w:tcPr>
          <w:p>
            <w:pPr>
              <w:jc w:val="center"/>
              <w:rPr>
                <w:color w:val="000000"/>
                <w:kern w:val="0"/>
                <w:szCs w:val="22"/>
                <w:lang w:eastAsia="en-US"/>
              </w:rPr>
            </w:pPr>
            <w:r>
              <w:rPr>
                <w:rFonts w:hint="eastAsia"/>
                <w:kern w:val="0"/>
                <w:szCs w:val="22"/>
                <w:lang w:eastAsia="en-US"/>
              </w:rPr>
              <w:t>较高风险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4" w:hRule="atLeast"/>
        </w:trPr>
        <w:tc>
          <w:tcPr>
            <w:tcW w:w="2560" w:type="dxa"/>
            <w:vAlign w:val="center"/>
          </w:tcPr>
          <w:p>
            <w:pPr>
              <w:jc w:val="center"/>
              <w:rPr>
                <w:color w:val="000000"/>
                <w:kern w:val="0"/>
                <w:szCs w:val="22"/>
                <w:lang w:eastAsia="en-US"/>
              </w:rPr>
            </w:pPr>
            <w:r>
              <w:rPr>
                <w:rFonts w:hint="eastAsia"/>
                <w:color w:val="000000"/>
                <w:kern w:val="0"/>
                <w:szCs w:val="22"/>
                <w:lang w:eastAsia="en-US"/>
              </w:rPr>
              <w:t>电子信息产业园</w:t>
            </w:r>
          </w:p>
        </w:tc>
        <w:tc>
          <w:tcPr>
            <w:tcW w:w="3256" w:type="dxa"/>
            <w:vAlign w:val="center"/>
          </w:tcPr>
          <w:p>
            <w:pPr>
              <w:jc w:val="center"/>
              <w:rPr>
                <w:color w:val="000000"/>
                <w:kern w:val="0"/>
                <w:szCs w:val="22"/>
                <w:lang w:eastAsia="en-US"/>
              </w:rPr>
            </w:pPr>
            <w:r>
              <w:rPr>
                <w:color w:val="000000"/>
                <w:kern w:val="0"/>
                <w:szCs w:val="22"/>
                <w:lang w:eastAsia="en-US"/>
              </w:rPr>
              <w:t>6.2416</w:t>
            </w:r>
          </w:p>
        </w:tc>
        <w:tc>
          <w:tcPr>
            <w:tcW w:w="3256" w:type="dxa"/>
            <w:vAlign w:val="center"/>
          </w:tcPr>
          <w:p>
            <w:pPr>
              <w:jc w:val="center"/>
              <w:rPr>
                <w:color w:val="000000"/>
                <w:kern w:val="0"/>
                <w:szCs w:val="22"/>
                <w:lang w:eastAsia="en-US"/>
              </w:rPr>
            </w:pPr>
            <w:r>
              <w:rPr>
                <w:rFonts w:hint="eastAsia"/>
                <w:kern w:val="0"/>
                <w:szCs w:val="22"/>
                <w:lang w:eastAsia="en-US"/>
              </w:rPr>
              <w:t>较高风险</w:t>
            </w:r>
          </w:p>
        </w:tc>
      </w:tr>
    </w:tbl>
    <w:p>
      <w:pPr>
        <w:widowControl/>
        <w:spacing w:after="120" w:line="40" w:lineRule="exact"/>
        <w:ind w:firstLine="560" w:firstLineChars="200"/>
        <w:rPr>
          <w:sz w:val="28"/>
          <w:szCs w:val="21"/>
        </w:rPr>
      </w:pPr>
    </w:p>
    <w:p>
      <w:pPr>
        <w:spacing w:after="240" w:line="240" w:lineRule="atLeast"/>
        <w:jc w:val="lef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康简魏碑">
    <w:altName w:val="宋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4208892"/>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4A"/>
    <w:rsid w:val="000562AD"/>
    <w:rsid w:val="00107BCD"/>
    <w:rsid w:val="00140277"/>
    <w:rsid w:val="00140D34"/>
    <w:rsid w:val="00144880"/>
    <w:rsid w:val="002460B8"/>
    <w:rsid w:val="002A7139"/>
    <w:rsid w:val="00357F61"/>
    <w:rsid w:val="003A78AD"/>
    <w:rsid w:val="00505841"/>
    <w:rsid w:val="0058649F"/>
    <w:rsid w:val="00693EDF"/>
    <w:rsid w:val="00722BF3"/>
    <w:rsid w:val="0076006D"/>
    <w:rsid w:val="007C0AF0"/>
    <w:rsid w:val="0089442D"/>
    <w:rsid w:val="008A3518"/>
    <w:rsid w:val="00907F36"/>
    <w:rsid w:val="00A11597"/>
    <w:rsid w:val="00A46DFF"/>
    <w:rsid w:val="00A856D7"/>
    <w:rsid w:val="00BC6348"/>
    <w:rsid w:val="00BD063A"/>
    <w:rsid w:val="00C13069"/>
    <w:rsid w:val="00C676E7"/>
    <w:rsid w:val="00D14B9B"/>
    <w:rsid w:val="00E2206A"/>
    <w:rsid w:val="00E34992"/>
    <w:rsid w:val="00E6274A"/>
    <w:rsid w:val="00EA7D64"/>
    <w:rsid w:val="00F20972"/>
    <w:rsid w:val="00F22E4A"/>
    <w:rsid w:val="00F913C7"/>
    <w:rsid w:val="00FE23BD"/>
    <w:rsid w:val="0FD04E7B"/>
    <w:rsid w:val="134630E3"/>
    <w:rsid w:val="15B462C3"/>
    <w:rsid w:val="17FB5FC8"/>
    <w:rsid w:val="43882CE1"/>
    <w:rsid w:val="60386BC0"/>
    <w:rsid w:val="645A7D2E"/>
    <w:rsid w:val="6B5016AD"/>
    <w:rsid w:val="7EE0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批注框文本 字符"/>
    <w:basedOn w:val="7"/>
    <w:link w:val="2"/>
    <w:semiHidden/>
    <w:qFormat/>
    <w:uiPriority w:val="99"/>
    <w:rPr>
      <w:rFonts w:ascii="Times New Roman" w:hAnsi="Times New Roman" w:eastAsia="宋体" w:cs="Times New Roman"/>
      <w:sz w:val="18"/>
      <w:szCs w:val="18"/>
    </w:rPr>
  </w:style>
  <w:style w:type="character" w:customStyle="1" w:styleId="9">
    <w:name w:val="页眉 字符"/>
    <w:basedOn w:val="7"/>
    <w:link w:val="4"/>
    <w:qFormat/>
    <w:uiPriority w:val="99"/>
    <w:rPr>
      <w:rFonts w:ascii="Times New Roman" w:hAnsi="Times New Roman" w:eastAsia="宋体" w:cs="Times New Roman"/>
      <w:kern w:val="2"/>
      <w:sz w:val="18"/>
      <w:szCs w:val="18"/>
    </w:rPr>
  </w:style>
  <w:style w:type="character" w:customStyle="1" w:styleId="10">
    <w:name w:val="页脚 字符"/>
    <w:basedOn w:val="7"/>
    <w:link w:val="3"/>
    <w:qFormat/>
    <w:uiPriority w:val="99"/>
    <w:rPr>
      <w:rFonts w:ascii="Times New Roman" w:hAnsi="Times New Roman" w:eastAsia="宋体" w:cs="Times New Roman"/>
      <w:kern w:val="2"/>
      <w:sz w:val="18"/>
      <w:szCs w:val="18"/>
    </w:rPr>
  </w:style>
  <w:style w:type="paragraph" w:customStyle="1" w:styleId="11">
    <w:name w:val="标题2-报告"/>
    <w:basedOn w:val="1"/>
    <w:qFormat/>
    <w:uiPriority w:val="99"/>
    <w:pPr>
      <w:keepNext/>
      <w:keepLines/>
      <w:widowControl/>
      <w:spacing w:before="260" w:after="260" w:line="415" w:lineRule="auto"/>
      <w:outlineLvl w:val="1"/>
    </w:pPr>
    <w:rPr>
      <w:rFonts w:eastAsia="黑体" w:cstheme="minorBidi"/>
      <w:bCs/>
      <w:sz w:val="32"/>
      <w:szCs w:val="32"/>
    </w:rPr>
  </w:style>
  <w:style w:type="paragraph" w:customStyle="1" w:styleId="12">
    <w:name w:val="标题1-报告"/>
    <w:basedOn w:val="1"/>
    <w:qFormat/>
    <w:uiPriority w:val="0"/>
    <w:pPr>
      <w:keepNext/>
      <w:keepLines/>
      <w:pageBreakBefore/>
      <w:widowControl/>
      <w:spacing w:before="960" w:after="600" w:line="578" w:lineRule="auto"/>
      <w:jc w:val="center"/>
      <w:outlineLvl w:val="0"/>
    </w:pPr>
    <w:rPr>
      <w:rFonts w:eastAsia="黑体" w:cstheme="minorBidi"/>
      <w:b/>
      <w:bCs/>
      <w:kern w:val="44"/>
      <w:sz w:val="44"/>
      <w:szCs w:val="44"/>
      <w:lang w:bidi="en-US"/>
    </w:rPr>
  </w:style>
  <w:style w:type="paragraph" w:customStyle="1" w:styleId="13">
    <w:name w:val="图_报告"/>
    <w:basedOn w:val="1"/>
    <w:qFormat/>
    <w:uiPriority w:val="0"/>
    <w:pPr>
      <w:widowControl/>
      <w:spacing w:before="180" w:after="120"/>
      <w:jc w:val="center"/>
      <w:outlineLvl w:val="8"/>
    </w:pPr>
    <w:rPr>
      <w:rFonts w:eastAsia="黑体"/>
      <w:kern w:val="0"/>
      <w:sz w:val="24"/>
      <w:szCs w:val="22"/>
      <w:lang w:eastAsia="en-US"/>
    </w:rPr>
  </w:style>
  <w:style w:type="paragraph" w:customStyle="1" w:styleId="14">
    <w:name w:val="表头-报告"/>
    <w:basedOn w:val="1"/>
    <w:qFormat/>
    <w:uiPriority w:val="99"/>
    <w:pPr>
      <w:keepNext/>
      <w:snapToGrid w:val="0"/>
      <w:spacing w:before="312" w:beforeLines="100" w:after="156" w:afterLines="50"/>
      <w:jc w:val="center"/>
    </w:pPr>
    <w:rPr>
      <w:rFonts w:eastAsia="黑体"/>
      <w:sz w:val="24"/>
      <w:szCs w:val="21"/>
      <w:lang w:val="en-GB"/>
    </w:rPr>
  </w:style>
  <w:style w:type="table" w:customStyle="1" w:styleId="15">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1331</Words>
  <Characters>7587</Characters>
  <Lines>63</Lines>
  <Paragraphs>17</Paragraphs>
  <TotalTime>93</TotalTime>
  <ScaleCrop>false</ScaleCrop>
  <LinksUpToDate>false</LinksUpToDate>
  <CharactersWithSpaces>8901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2020-08-12T02:33:00Z</dcterms:created>
  <dc:creator>陈慧(拟稿)</dc:creator>
  <cp:lastModifiedBy>01</cp:lastModifiedBy>
  <cp:lastPrinted>2020-08-12T03:14:00Z</cp:lastPrinted>
  <dcterms:modified xsi:type="dcterms:W3CDTF">2020-10-28T01:34:10Z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