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0000"/>
        </w:rPr>
      </w:pPr>
      <w:r>
        <w:rPr>
          <w:rFonts w:hint="eastAsia"/>
          <w:color w:val="000000"/>
        </w:rPr>
        <w:t xml:space="preserve"> </w:t>
      </w:r>
    </w:p>
    <w:p>
      <w:pPr>
        <w:rPr>
          <w:color w:val="000000"/>
        </w:rPr>
      </w:pPr>
    </w:p>
    <w:p>
      <w:pPr>
        <w:rPr>
          <w:color w:val="000000"/>
        </w:rPr>
      </w:pPr>
    </w:p>
    <w:p>
      <w:pPr>
        <w:adjustRightInd w:val="0"/>
        <w:snapToGrid w:val="0"/>
        <w:spacing w:line="360" w:lineRule="auto"/>
        <w:rPr>
          <w:rFonts w:ascii="Times New Roman" w:hAnsi="Times New Roman" w:eastAsia="仿宋" w:cs="Times New Roman"/>
          <w:b/>
          <w:bCs/>
          <w:color w:val="000000"/>
          <w:sz w:val="36"/>
          <w:szCs w:val="36"/>
        </w:rPr>
      </w:pPr>
    </w:p>
    <w:p/>
    <w:p>
      <w:pPr>
        <w:adjustRightInd w:val="0"/>
        <w:snapToGrid w:val="0"/>
        <w:spacing w:line="360" w:lineRule="auto"/>
        <w:jc w:val="center"/>
        <w:rPr>
          <w:rFonts w:ascii="Times New Roman" w:hAnsi="Times New Roman" w:eastAsia="仿宋" w:cs="Times New Roman"/>
          <w:b/>
          <w:bCs/>
          <w:color w:val="000000"/>
          <w:sz w:val="44"/>
          <w:szCs w:val="44"/>
        </w:rPr>
      </w:pPr>
      <w:r>
        <w:rPr>
          <w:rFonts w:ascii="Times New Roman" w:hAnsi="Times New Roman" w:eastAsia="仿宋" w:cs="Times New Roman"/>
          <w:b/>
          <w:bCs/>
          <w:color w:val="000000"/>
          <w:sz w:val="44"/>
          <w:szCs w:val="44"/>
        </w:rPr>
        <w:t>清远市教育发展“十四五”规划</w:t>
      </w:r>
    </w:p>
    <w:p>
      <w:pPr>
        <w:adjustRightInd w:val="0"/>
        <w:snapToGrid w:val="0"/>
        <w:spacing w:line="360" w:lineRule="auto"/>
        <w:jc w:val="center"/>
        <w:rPr>
          <w:rFonts w:ascii="Times New Roman" w:hAnsi="Times New Roman" w:eastAsia="仿宋" w:cs="Times New Roman"/>
          <w:color w:val="000000"/>
          <w:sz w:val="28"/>
          <w:szCs w:val="28"/>
        </w:rPr>
      </w:pPr>
      <w:r>
        <w:rPr>
          <w:rFonts w:ascii="Times New Roman" w:hAnsi="Times New Roman" w:eastAsia="仿宋" w:cs="Times New Roman"/>
          <w:b/>
          <w:bCs/>
          <w:color w:val="000000"/>
          <w:sz w:val="44"/>
          <w:szCs w:val="44"/>
        </w:rPr>
        <w:t>（2021—2025年）</w:t>
      </w:r>
    </w:p>
    <w:p>
      <w:pPr>
        <w:adjustRightInd w:val="0"/>
        <w:snapToGrid w:val="0"/>
        <w:spacing w:line="360" w:lineRule="auto"/>
        <w:jc w:val="center"/>
        <w:rPr>
          <w:rFonts w:ascii="Times New Roman" w:hAnsi="Times New Roman" w:eastAsia="仿宋" w:cs="Times New Roman"/>
          <w:color w:val="000000"/>
          <w:sz w:val="28"/>
          <w:szCs w:val="28"/>
        </w:rPr>
      </w:pPr>
    </w:p>
    <w:p>
      <w:pPr>
        <w:adjustRightInd w:val="0"/>
        <w:snapToGrid w:val="0"/>
        <w:spacing w:line="360" w:lineRule="auto"/>
        <w:jc w:val="center"/>
        <w:rPr>
          <w:rFonts w:ascii="Times New Roman" w:hAnsi="Times New Roman" w:eastAsia="仿宋" w:cs="Times New Roman"/>
          <w:color w:val="000000"/>
          <w:sz w:val="28"/>
          <w:szCs w:val="28"/>
        </w:rPr>
      </w:pPr>
    </w:p>
    <w:p>
      <w:pPr>
        <w:adjustRightInd w:val="0"/>
        <w:snapToGrid w:val="0"/>
        <w:spacing w:line="360" w:lineRule="auto"/>
        <w:jc w:val="center"/>
        <w:rPr>
          <w:rFonts w:ascii="Times New Roman" w:hAnsi="Times New Roman" w:eastAsia="仿宋" w:cs="Times New Roman"/>
          <w:color w:val="000000"/>
          <w:sz w:val="28"/>
          <w:szCs w:val="28"/>
        </w:rPr>
      </w:pPr>
    </w:p>
    <w:p>
      <w:pPr>
        <w:adjustRightInd w:val="0"/>
        <w:snapToGrid w:val="0"/>
        <w:spacing w:line="360" w:lineRule="auto"/>
        <w:jc w:val="center"/>
        <w:rPr>
          <w:rFonts w:ascii="Times New Roman" w:hAnsi="Times New Roman" w:eastAsia="仿宋" w:cs="Times New Roman"/>
          <w:color w:val="000000"/>
          <w:sz w:val="28"/>
          <w:szCs w:val="28"/>
        </w:rPr>
      </w:pPr>
    </w:p>
    <w:p>
      <w:pPr>
        <w:adjustRightInd w:val="0"/>
        <w:snapToGrid w:val="0"/>
        <w:spacing w:line="360" w:lineRule="auto"/>
        <w:jc w:val="center"/>
        <w:rPr>
          <w:rFonts w:ascii="Times New Roman" w:hAnsi="Times New Roman" w:eastAsia="仿宋" w:cs="Times New Roman"/>
          <w:color w:val="000000"/>
          <w:sz w:val="28"/>
          <w:szCs w:val="28"/>
        </w:rPr>
      </w:pPr>
    </w:p>
    <w:p>
      <w:pPr>
        <w:rPr>
          <w:color w:val="000000"/>
        </w:rPr>
      </w:pPr>
    </w:p>
    <w:p>
      <w:pPr>
        <w:rPr>
          <w:color w:val="000000"/>
        </w:rPr>
      </w:pPr>
    </w:p>
    <w:p>
      <w:pPr>
        <w:rPr>
          <w:color w:val="000000"/>
        </w:rPr>
      </w:pPr>
    </w:p>
    <w:p>
      <w:pPr>
        <w:pStyle w:val="25"/>
        <w:spacing w:line="360" w:lineRule="auto"/>
        <w:rPr>
          <w:rFonts w:ascii="Times New Roman" w:hAnsi="Times New Roman" w:eastAsia="仿宋" w:cs="Times New Roman"/>
          <w:color w:val="000000"/>
        </w:rPr>
      </w:pPr>
      <w:r>
        <w:rPr>
          <w:rFonts w:hint="eastAsia" w:ascii="Times New Roman" w:hAnsi="Times New Roman" w:eastAsia="仿宋" w:cs="Times New Roman"/>
          <w:color w:val="000000"/>
        </w:rPr>
        <w:t xml:space="preserve"> </w:t>
      </w:r>
    </w:p>
    <w:p>
      <w:pPr>
        <w:pStyle w:val="25"/>
        <w:spacing w:line="360" w:lineRule="auto"/>
        <w:rPr>
          <w:rFonts w:ascii="Times New Roman" w:hAnsi="Times New Roman" w:eastAsia="仿宋" w:cs="Times New Roman"/>
          <w:color w:val="000000"/>
        </w:rPr>
      </w:pPr>
    </w:p>
    <w:p>
      <w:pPr>
        <w:pStyle w:val="25"/>
        <w:spacing w:line="360" w:lineRule="auto"/>
        <w:rPr>
          <w:rFonts w:ascii="Times New Roman" w:hAnsi="Times New Roman" w:eastAsia="仿宋" w:cs="Times New Roman"/>
          <w:color w:val="000000"/>
        </w:rPr>
      </w:pPr>
    </w:p>
    <w:p>
      <w:pPr>
        <w:pStyle w:val="25"/>
        <w:spacing w:line="360" w:lineRule="auto"/>
        <w:rPr>
          <w:rFonts w:ascii="Times New Roman" w:hAnsi="Times New Roman" w:eastAsia="仿宋" w:cs="Times New Roman"/>
          <w:color w:val="000000"/>
        </w:rPr>
      </w:pPr>
    </w:p>
    <w:p>
      <w:pPr>
        <w:pStyle w:val="25"/>
        <w:spacing w:line="360" w:lineRule="auto"/>
        <w:rPr>
          <w:rFonts w:ascii="Times New Roman" w:hAnsi="Times New Roman" w:eastAsia="仿宋" w:cs="Times New Roman"/>
          <w:color w:val="000000"/>
        </w:rPr>
      </w:pPr>
    </w:p>
    <w:p>
      <w:pPr>
        <w:pStyle w:val="25"/>
        <w:spacing w:line="360" w:lineRule="auto"/>
        <w:rPr>
          <w:rFonts w:ascii="Times New Roman" w:hAnsi="Times New Roman" w:eastAsia="仿宋" w:cs="Times New Roman"/>
          <w:color w:val="000000"/>
        </w:rPr>
      </w:pPr>
    </w:p>
    <w:p>
      <w:pPr>
        <w:pStyle w:val="25"/>
        <w:spacing w:line="360" w:lineRule="auto"/>
        <w:ind w:left="0" w:leftChars="0" w:firstLine="0" w:firstLineChars="0"/>
        <w:jc w:val="center"/>
        <w:rPr>
          <w:rFonts w:hint="eastAsia" w:ascii="Times New Roman" w:hAnsi="Times New Roman" w:eastAsia="仿宋" w:cs="Times New Roman"/>
          <w:b/>
          <w:color w:val="000000"/>
          <w:sz w:val="32"/>
          <w:szCs w:val="32"/>
          <w:lang w:eastAsia="zh-CN"/>
        </w:rPr>
      </w:pPr>
      <w:r>
        <w:rPr>
          <w:rFonts w:hint="eastAsia" w:ascii="Times New Roman" w:hAnsi="Times New Roman" w:eastAsia="仿宋" w:cs="Times New Roman"/>
          <w:b/>
          <w:color w:val="000000"/>
          <w:sz w:val="32"/>
          <w:szCs w:val="32"/>
        </w:rPr>
        <w:t>清远市教育</w:t>
      </w:r>
      <w:r>
        <w:rPr>
          <w:rFonts w:hint="eastAsia" w:ascii="Times New Roman" w:hAnsi="Times New Roman" w:eastAsia="仿宋" w:cs="Times New Roman"/>
          <w:b/>
          <w:color w:val="000000"/>
          <w:sz w:val="32"/>
          <w:szCs w:val="32"/>
          <w:lang w:eastAsia="zh-CN"/>
        </w:rPr>
        <w:t>局</w:t>
      </w:r>
    </w:p>
    <w:p>
      <w:pPr>
        <w:pStyle w:val="25"/>
        <w:spacing w:line="360" w:lineRule="auto"/>
        <w:ind w:left="0" w:leftChars="0" w:firstLine="0" w:firstLineChars="0"/>
        <w:jc w:val="center"/>
        <w:rPr>
          <w:rFonts w:ascii="Times New Roman" w:hAnsi="Times New Roman" w:eastAsia="仿宋" w:cs="Times New Roman"/>
          <w:b/>
          <w:color w:val="000000"/>
        </w:rPr>
      </w:pPr>
      <w:r>
        <w:rPr>
          <w:rFonts w:ascii="Times New Roman" w:hAnsi="Times New Roman" w:eastAsia="仿宋" w:cs="Times New Roman"/>
          <w:b/>
          <w:color w:val="000000"/>
          <w:sz w:val="32"/>
          <w:szCs w:val="32"/>
        </w:rPr>
        <w:t>2021年</w:t>
      </w:r>
      <w:r>
        <w:rPr>
          <w:rFonts w:hint="eastAsia" w:ascii="Times New Roman" w:hAnsi="Times New Roman" w:eastAsia="仿宋" w:cs="Times New Roman"/>
          <w:b/>
          <w:color w:val="000000"/>
          <w:sz w:val="32"/>
          <w:szCs w:val="32"/>
          <w:lang w:val="en-US" w:eastAsia="zh-CN"/>
        </w:rPr>
        <w:t>4</w:t>
      </w:r>
      <w:r>
        <w:rPr>
          <w:rFonts w:ascii="Times New Roman" w:hAnsi="Times New Roman" w:eastAsia="仿宋" w:cs="Times New Roman"/>
          <w:b/>
          <w:color w:val="000000"/>
          <w:sz w:val="32"/>
          <w:szCs w:val="32"/>
        </w:rPr>
        <w:t>月</w:t>
      </w:r>
      <w:r>
        <w:rPr>
          <w:rFonts w:hint="eastAsia" w:ascii="Times New Roman" w:hAnsi="Times New Roman" w:eastAsia="仿宋" w:cs="Times New Roman"/>
          <w:b/>
          <w:color w:val="000000"/>
          <w:sz w:val="32"/>
          <w:szCs w:val="32"/>
          <w:lang w:val="en-US" w:eastAsia="zh-CN"/>
        </w:rPr>
        <w:t>30</w:t>
      </w:r>
      <w:r>
        <w:rPr>
          <w:rFonts w:ascii="Times New Roman" w:hAnsi="Times New Roman" w:eastAsia="仿宋" w:cs="Times New Roman"/>
          <w:b/>
          <w:color w:val="000000"/>
          <w:sz w:val="32"/>
          <w:szCs w:val="32"/>
        </w:rPr>
        <w:t>日</w:t>
      </w:r>
    </w:p>
    <w:p>
      <w:pPr>
        <w:jc w:val="left"/>
        <w:textAlignment w:val="auto"/>
        <w:rPr>
          <w:rFonts w:ascii="Times New Roman" w:hAnsi="Times New Roman" w:eastAsia="仿宋" w:cs="Times New Roman"/>
          <w:b/>
          <w:color w:val="000000"/>
          <w:sz w:val="48"/>
          <w:szCs w:val="48"/>
        </w:rPr>
      </w:pPr>
      <w:r>
        <w:rPr>
          <w:rFonts w:ascii="Times New Roman" w:hAnsi="Times New Roman" w:eastAsia="仿宋" w:cs="Times New Roman"/>
          <w:b/>
          <w:color w:val="000000"/>
          <w:sz w:val="48"/>
          <w:szCs w:val="48"/>
        </w:rPr>
        <w:br w:type="page"/>
      </w:r>
    </w:p>
    <w:p>
      <w:pPr>
        <w:pStyle w:val="13"/>
        <w:tabs>
          <w:tab w:val="right" w:leader="dot" w:pos="8306"/>
        </w:tabs>
        <w:jc w:val="center"/>
        <w:rPr>
          <w:rFonts w:ascii="黑体" w:hAnsi="黑体" w:eastAsia="黑体"/>
          <w:sz w:val="44"/>
          <w:szCs w:val="44"/>
        </w:rPr>
      </w:pPr>
      <w:r>
        <w:rPr>
          <w:rFonts w:hint="eastAsia" w:ascii="黑体" w:hAnsi="黑体" w:eastAsia="黑体"/>
          <w:sz w:val="44"/>
          <w:szCs w:val="44"/>
        </w:rPr>
        <w:t>目录</w:t>
      </w:r>
    </w:p>
    <w:p>
      <w:pPr>
        <w:pStyle w:val="13"/>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"1-3" \f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HYPERLINK \l _Toc23252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一、发展基础</w:t>
      </w:r>
      <w:r>
        <w:rPr>
          <w:rFonts w:hint="eastAsia" w:ascii="仿宋_GB2312" w:hAnsi="仿宋_GB2312" w:eastAsia="仿宋_GB2312" w:cs="仿宋_GB2312"/>
          <w:b/>
          <w:bCs/>
          <w:kern w:val="2"/>
          <w:sz w:val="28"/>
          <w:szCs w:val="28"/>
          <w:lang w:val="en-US" w:eastAsia="zh-CN" w:bidi="ar-SA"/>
        </w:rPr>
        <w:tab/>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PAGEREF _Toc23252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- 1 -</w:t>
      </w:r>
      <w:r>
        <w:rPr>
          <w:rFonts w:hint="eastAsia" w:ascii="仿宋_GB2312" w:hAnsi="仿宋_GB2312" w:eastAsia="仿宋_GB2312" w:cs="仿宋_GB2312"/>
          <w:b/>
          <w:bCs/>
          <w:kern w:val="2"/>
          <w:sz w:val="28"/>
          <w:szCs w:val="28"/>
          <w:lang w:val="en-US" w:eastAsia="zh-CN" w:bidi="ar-SA"/>
        </w:rPr>
        <w:fldChar w:fldCharType="end"/>
      </w:r>
      <w:r>
        <w:rPr>
          <w:rFonts w:hint="eastAsia" w:ascii="仿宋_GB2312" w:hAnsi="仿宋_GB2312" w:eastAsia="仿宋_GB2312" w:cs="仿宋_GB2312"/>
          <w:b/>
          <w:bCs/>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_Toc28774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bCs/>
          <w:kern w:val="2"/>
          <w:sz w:val="28"/>
          <w:szCs w:val="28"/>
          <w:lang w:val="en-US" w:eastAsia="zh-CN" w:bidi="ar-SA"/>
        </w:rPr>
        <w:t>（一）党对教育工作的领导得到全面加强</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_Toc28774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_Toc27203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（二）立德树人根本任务得到全面落实</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_Toc27203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_Toc31458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1.未成年人思想道德建设成效显著。</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_Toc31458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_Toc1166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2.素质教育成绩斐然。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_Toc1166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_Toc21087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3.文化育人结硕果。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_Toc21087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_Toc4123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（三）各级各类教育事业取得新成就</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_Toc4123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_Toc27215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（四）公平而有质量的教育取得新进展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_Toc27215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_Toc18091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1.加大学位供给，有效缓解“上学难”问题。</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_Toc18091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_Toc16666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2.城乡教育一体化取得新进展。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_Toc16666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_Toc29170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3.教育帮扶取得新成效。</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_Toc29170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_Toc21231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4.扶贫助学彰显教育公平。</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_Toc21231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_Toc6559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（五）教育体制机制改革取得新成效</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_Toc6559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_Toc31756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（六）对外合作交流实现新拓展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_Toc31756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_Toc5884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（七）面临的新形势与新挑战</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_Toc5884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- 6 -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3"/>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HYPERLINK \l _Toc3701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二、总体要求</w:t>
      </w:r>
      <w:r>
        <w:rPr>
          <w:rFonts w:hint="eastAsia" w:ascii="仿宋_GB2312" w:hAnsi="仿宋_GB2312" w:eastAsia="仿宋_GB2312" w:cs="仿宋_GB2312"/>
          <w:b/>
          <w:bCs/>
          <w:kern w:val="2"/>
          <w:sz w:val="28"/>
          <w:szCs w:val="28"/>
          <w:lang w:val="en-US" w:eastAsia="zh-CN" w:bidi="ar-SA"/>
        </w:rPr>
        <w:tab/>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PAGEREF _Toc3701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- 7 -</w:t>
      </w:r>
      <w:r>
        <w:rPr>
          <w:rFonts w:hint="eastAsia" w:ascii="仿宋_GB2312" w:hAnsi="仿宋_GB2312" w:eastAsia="仿宋_GB2312" w:cs="仿宋_GB2312"/>
          <w:b/>
          <w:bCs/>
          <w:kern w:val="2"/>
          <w:sz w:val="28"/>
          <w:szCs w:val="28"/>
          <w:lang w:val="en-US" w:eastAsia="zh-CN" w:bidi="ar-SA"/>
        </w:rPr>
        <w:fldChar w:fldCharType="end"/>
      </w:r>
      <w:r>
        <w:rPr>
          <w:rFonts w:hint="eastAsia" w:ascii="仿宋_GB2312" w:hAnsi="仿宋_GB2312" w:eastAsia="仿宋_GB2312" w:cs="仿宋_GB2312"/>
          <w:b/>
          <w:bCs/>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_Toc25177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（一）指导思想</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_Toc25177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_Toc15922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（二）基本思路</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_Toc15922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_Toc20684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（三）总体目标</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_Toc20684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_Toc24702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1.“十四五”教育发展总目标、总定位</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_Toc24702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_Toc27930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2.具体目标</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_Toc27930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3"/>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HYPERLINK \l _Toc11460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三、全面落实立德树人根本任务</w:t>
      </w:r>
      <w:r>
        <w:rPr>
          <w:rFonts w:hint="eastAsia" w:ascii="仿宋_GB2312" w:hAnsi="仿宋_GB2312" w:eastAsia="仿宋_GB2312" w:cs="仿宋_GB2312"/>
          <w:b/>
          <w:bCs/>
          <w:kern w:val="2"/>
          <w:sz w:val="28"/>
          <w:szCs w:val="28"/>
          <w:lang w:val="en-US" w:eastAsia="zh-CN" w:bidi="ar-SA"/>
        </w:rPr>
        <w:tab/>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PAGEREF _Toc11460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- 13 -</w:t>
      </w:r>
      <w:r>
        <w:rPr>
          <w:rFonts w:hint="eastAsia" w:ascii="仿宋_GB2312" w:hAnsi="仿宋_GB2312" w:eastAsia="仿宋_GB2312" w:cs="仿宋_GB2312"/>
          <w:b/>
          <w:bCs/>
          <w:kern w:val="2"/>
          <w:sz w:val="28"/>
          <w:szCs w:val="28"/>
          <w:lang w:val="en-US" w:eastAsia="zh-CN" w:bidi="ar-SA"/>
        </w:rPr>
        <w:fldChar w:fldCharType="end"/>
      </w:r>
      <w:r>
        <w:rPr>
          <w:rFonts w:hint="eastAsia" w:ascii="仿宋_GB2312" w:hAnsi="仿宋_GB2312" w:eastAsia="仿宋_GB2312" w:cs="仿宋_GB2312"/>
          <w:b/>
          <w:bCs/>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_Toc29229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（一）全面加强党对教育工作的领导</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_Toc29229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_Toc2694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1.深入学习贯彻习近平新时代中国特色社会主义思想。</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_Toc2694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_Toc1069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2.加强党的政治建设。</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_Toc1069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_Toc6608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3.坚持党对教育工作的全面领导。</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_Toc6608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_Toc12562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（二）构建大中小幼一体化思政工作体系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_Toc12562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_Toc764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1.全员全过程全方位立德树人。</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_Toc764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_Toc9629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2.完善大中小幼思政课程建设。</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_Toc9629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_Toc5716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（三）促进学生综合素质全面提升</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_Toc5716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_Toc5457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1.加强和改进学校体育与卫生健康教育。</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_Toc5457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_Toc21539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2.加强和改进学校美育工作。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_Toc21539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_Toc5823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3.加强新时代劳动教育。</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_Toc5823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- 16 -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_Toc31330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4.加强国防教育。</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_Toc31330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_Toc4864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5.加强国家安全和公共安全教育。</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_Toc4864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_Toc27845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6.构建大中小幼学校文化体系。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_Toc27845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_Toc27145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7.创新德智体美劳过程性评价机制。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_Toc27145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- 18 -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_Toc12849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（四）健全家庭学校社会协同育人体系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_Toc12849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- 18 -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3"/>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HYPERLINK \l _Toc15056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四、加快教育高质量发展</w:t>
      </w:r>
      <w:r>
        <w:rPr>
          <w:rFonts w:hint="eastAsia" w:ascii="仿宋_GB2312" w:hAnsi="仿宋_GB2312" w:eastAsia="仿宋_GB2312" w:cs="仿宋_GB2312"/>
          <w:b/>
          <w:bCs/>
          <w:kern w:val="2"/>
          <w:sz w:val="28"/>
          <w:szCs w:val="28"/>
          <w:lang w:val="en-US" w:eastAsia="zh-CN" w:bidi="ar-SA"/>
        </w:rPr>
        <w:tab/>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PAGEREF _Toc15056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- 19 -</w:t>
      </w:r>
      <w:r>
        <w:rPr>
          <w:rFonts w:hint="eastAsia" w:ascii="仿宋_GB2312" w:hAnsi="仿宋_GB2312" w:eastAsia="仿宋_GB2312" w:cs="仿宋_GB2312"/>
          <w:b/>
          <w:bCs/>
          <w:kern w:val="2"/>
          <w:sz w:val="28"/>
          <w:szCs w:val="28"/>
          <w:lang w:val="en-US" w:eastAsia="zh-CN" w:bidi="ar-SA"/>
        </w:rPr>
        <w:fldChar w:fldCharType="end"/>
      </w:r>
      <w:r>
        <w:rPr>
          <w:rFonts w:hint="eastAsia" w:ascii="仿宋_GB2312" w:hAnsi="仿宋_GB2312" w:eastAsia="仿宋_GB2312" w:cs="仿宋_GB2312"/>
          <w:b/>
          <w:bCs/>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_Toc23265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（一）加快推进教育区域协调发展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_Toc23265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_Toc30033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1.全面推进乡村教育振兴。</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_Toc30033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- 19 -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_Toc31946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2.巩固提高“创先”发展水平。</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_Toc31946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_Toc19952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3.深化教育结对帮扶。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_Toc19952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_Toc8187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（二）持续推进基础教育高质量发展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_Toc8187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_Toc9429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1.推进学前教育普及普惠安全优质发展。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_Toc9429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_Toc773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2.提升义务教育优质均衡发展水平。</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_Toc773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_Toc18734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3.推进普通高中教育优质特色多样化发展。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_Toc18734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_Toc8119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4.推动特殊教育公平融合发展。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_Toc8119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- 26 -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_Toc32638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5.加强课程建设和教材管理。</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_Toc32638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_Toc23220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6.构建现代化教育装备体系。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_Toc23220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_Toc11104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（三）深入推进职业教育扩容提质强服务</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_Toc11104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- 28 -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_Toc23718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1.扩大优质职业教育资源供给。</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_Toc23718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- 28 -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_Toc16486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w w:val="90"/>
          <w:kern w:val="2"/>
          <w:sz w:val="28"/>
          <w:szCs w:val="28"/>
          <w:lang w:val="en-US" w:eastAsia="zh-CN" w:bidi="ar-SA"/>
        </w:rPr>
        <w:t>构建现代职业教育体系“立交桥”，提升人才培养质量。</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_Toc16486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_Toc18974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3.深化产教融合与校企合作。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_Toc18974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- 29 -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_Toc31490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4.全面推行现代学徒制。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_Toc31490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_Toc30560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5.深化“放管服”改革，激发职业教育活力。</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_Toc30560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_Toc10647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6.健全完善职业教育制度标准。</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_Toc10647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_Toc24495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（四）健全开放多元的终身教育体系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_Toc24495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_Toc20256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1.优化终身教育体系。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_Toc20256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_Toc9171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2.激活继续教育管理机制。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_Toc9171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_Toc29718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3.加快发展社区教育和老年教育。</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_Toc29718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_Toc12781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（五）发展信息技术与教育教学融合的智慧教育</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_Toc12781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_Toc24439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1.完善教育信息化资源保障。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_Toc24439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_Toc2266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2.利用信息技术助力教育教学改革。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_Toc2266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_Toc288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3.全面推进师生信息技术素养和能力提升。</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_Toc288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_Toc23470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4.提高教育系统网络、信息与数据安全保障能力。</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_Toc23470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_Toc24535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（六）建设高素质专业化创新型的教育人才队伍</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_Toc24535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_Toc15890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1.提升教育人才队伍思想政治素质和职业道德水平。</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_Toc15890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_Toc12467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2.加强教育人才队伍建设。</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_Toc12467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_Toc2184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3.创新教师培养模式。</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_Toc2184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- 39 -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_Toc10955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4.切实维护和保障教师的合法权益。</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_Toc10955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3"/>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HYPERLINK \l _Toc23529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五、深化教育领域改革开放</w:t>
      </w:r>
      <w:r>
        <w:rPr>
          <w:rFonts w:hint="eastAsia" w:ascii="仿宋_GB2312" w:hAnsi="仿宋_GB2312" w:eastAsia="仿宋_GB2312" w:cs="仿宋_GB2312"/>
          <w:b/>
          <w:bCs/>
          <w:kern w:val="2"/>
          <w:sz w:val="28"/>
          <w:szCs w:val="28"/>
          <w:lang w:val="en-US" w:eastAsia="zh-CN" w:bidi="ar-SA"/>
        </w:rPr>
        <w:tab/>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PAGEREF _Toc23529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- 43 -</w:t>
      </w:r>
      <w:r>
        <w:rPr>
          <w:rFonts w:hint="eastAsia" w:ascii="仿宋_GB2312" w:hAnsi="仿宋_GB2312" w:eastAsia="仿宋_GB2312" w:cs="仿宋_GB2312"/>
          <w:b/>
          <w:bCs/>
          <w:kern w:val="2"/>
          <w:sz w:val="28"/>
          <w:szCs w:val="28"/>
          <w:lang w:val="en-US" w:eastAsia="zh-CN" w:bidi="ar-SA"/>
        </w:rPr>
        <w:fldChar w:fldCharType="end"/>
      </w:r>
      <w:r>
        <w:rPr>
          <w:rFonts w:hint="eastAsia" w:ascii="仿宋_GB2312" w:hAnsi="仿宋_GB2312" w:eastAsia="仿宋_GB2312" w:cs="仿宋_GB2312"/>
          <w:b/>
          <w:bCs/>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_Toc336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（一）深化新时代教育评价改革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_Toc336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_Toc9610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1.以科学履职为导向推进党委和政府教育工作评价改革。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_Toc9610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_Toc32636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2.以立德树人为导向推进学校评价改革。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_Toc32636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_Toc20983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3.以教书育人为导向推进教师评价改革。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_Toc20983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_Toc23808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4.以全面发展为导向推进学生评价改革。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_Toc23808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_Toc2601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5.以品德和能力为导向推进用人评价改革。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_Toc2601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_Toc22227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（二）深化办学体制和管理体制改革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_Toc22227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_Toc30610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1.全面推进集团化办学模式改革。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_Toc30610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_Toc14229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2.推进依法治教依法治校。</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_Toc14229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_Toc11645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3.提高学校现代化治理能力。</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_Toc11645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_Toc5086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（三）深化教师队伍管理体制机制改革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_Toc5086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_Toc2716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1.优化教师配置机制。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_Toc2716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_Toc25138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2.优化教师统筹管理机制。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_Toc25138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- 46 -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_Toc15278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3.深化教师职称评聘制度改革。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_Toc15278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_Toc4981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（四）深化民办教育分类管理机制改革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_Toc4981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_Toc4256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1.健全民办学校分类管理制度体系。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_Toc4256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- 47 -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_Toc14349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2.强化民办学校分类发展支持力度。</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_Toc14349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- 48 -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_Toc8105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3.健全民办学校监督管理机制。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_Toc8105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- 48 -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_Toc24349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（五）深化考试招生制度改革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_Toc24349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_Toc19997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1.完善义务教育招生入学制度。</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_Toc19997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_Toc2164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2.深化高中阶段学校考试招生制度改革。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_Toc2164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- 49 -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_Toc21783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3.推进高考综合改革落地实施。</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_Toc21783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_Toc1836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（六）深化教育督导体制机制改革</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_Toc1836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_Toc18466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1.完善教育督导管理体制。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_Toc18466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_Toc25102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2.健全教育督导运行机制。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_Toc25102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- 50 -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_Toc5775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3.深化教育督导问责机制。</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_Toc5775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_Toc26670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4.加强督学聘用与管理。</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_Toc26670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- 51 -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_Toc1051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（七）深化教育对外交流合作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_Toc1051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_Toc9060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1.推进教育“入珠融湾”。</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_Toc9060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_Toc15370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2.加强对外教育交流与合作。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_Toc15370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- 52 -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8"/>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_Toc24456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3.加快培养高素质国际化人才。</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_Toc24456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3"/>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HYPERLINK \l _Toc31211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六、保障措施</w:t>
      </w:r>
      <w:r>
        <w:rPr>
          <w:rFonts w:hint="eastAsia" w:ascii="仿宋_GB2312" w:hAnsi="仿宋_GB2312" w:eastAsia="仿宋_GB2312" w:cs="仿宋_GB2312"/>
          <w:b/>
          <w:bCs/>
          <w:kern w:val="2"/>
          <w:sz w:val="28"/>
          <w:szCs w:val="28"/>
          <w:lang w:val="en-US" w:eastAsia="zh-CN" w:bidi="ar-SA"/>
        </w:rPr>
        <w:tab/>
      </w:r>
      <w:r>
        <w:rPr>
          <w:rFonts w:hint="eastAsia" w:ascii="仿宋_GB2312" w:hAnsi="仿宋_GB2312" w:eastAsia="仿宋_GB2312" w:cs="仿宋_GB2312"/>
          <w:b/>
          <w:bCs/>
          <w:kern w:val="2"/>
          <w:sz w:val="28"/>
          <w:szCs w:val="28"/>
          <w:lang w:val="en-US" w:eastAsia="zh-CN" w:bidi="ar-SA"/>
        </w:rPr>
        <w:fldChar w:fldCharType="begin"/>
      </w:r>
      <w:r>
        <w:rPr>
          <w:rFonts w:hint="eastAsia" w:ascii="仿宋_GB2312" w:hAnsi="仿宋_GB2312" w:eastAsia="仿宋_GB2312" w:cs="仿宋_GB2312"/>
          <w:b/>
          <w:bCs/>
          <w:kern w:val="2"/>
          <w:sz w:val="28"/>
          <w:szCs w:val="28"/>
          <w:lang w:val="en-US" w:eastAsia="zh-CN" w:bidi="ar-SA"/>
        </w:rPr>
        <w:instrText xml:space="preserve"> PAGEREF _Toc31211 </w:instrText>
      </w:r>
      <w:r>
        <w:rPr>
          <w:rFonts w:hint="eastAsia" w:ascii="仿宋_GB2312" w:hAnsi="仿宋_GB2312" w:eastAsia="仿宋_GB2312" w:cs="仿宋_GB2312"/>
          <w:b/>
          <w:bCs/>
          <w:kern w:val="2"/>
          <w:sz w:val="28"/>
          <w:szCs w:val="28"/>
          <w:lang w:val="en-US" w:eastAsia="zh-CN" w:bidi="ar-SA"/>
        </w:rPr>
        <w:fldChar w:fldCharType="separate"/>
      </w:r>
      <w:r>
        <w:rPr>
          <w:rFonts w:hint="eastAsia" w:ascii="仿宋_GB2312" w:hAnsi="仿宋_GB2312" w:eastAsia="仿宋_GB2312" w:cs="仿宋_GB2312"/>
          <w:b/>
          <w:bCs/>
          <w:kern w:val="2"/>
          <w:sz w:val="28"/>
          <w:szCs w:val="28"/>
          <w:lang w:val="en-US" w:eastAsia="zh-CN" w:bidi="ar-SA"/>
        </w:rPr>
        <w:t>- 53 -</w:t>
      </w:r>
      <w:r>
        <w:rPr>
          <w:rFonts w:hint="eastAsia" w:ascii="仿宋_GB2312" w:hAnsi="仿宋_GB2312" w:eastAsia="仿宋_GB2312" w:cs="仿宋_GB2312"/>
          <w:b/>
          <w:bCs/>
          <w:kern w:val="2"/>
          <w:sz w:val="28"/>
          <w:szCs w:val="28"/>
          <w:lang w:val="en-US" w:eastAsia="zh-CN" w:bidi="ar-SA"/>
        </w:rPr>
        <w:fldChar w:fldCharType="end"/>
      </w:r>
      <w:r>
        <w:rPr>
          <w:rFonts w:hint="eastAsia" w:ascii="仿宋_GB2312" w:hAnsi="仿宋_GB2312" w:eastAsia="仿宋_GB2312" w:cs="仿宋_GB2312"/>
          <w:b/>
          <w:bCs/>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_Toc29855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（一）组织保障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_Toc29855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- 53 -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_Toc23960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（二）资源保障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_Toc23960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- 54 -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_Toc13147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（三）智力保障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_Toc13147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_Toc27707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（四）安全保障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_Toc27707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- 55 -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_Toc3731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（五）机制保障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_Toc3731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- 56 -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7"/>
        <w:widowControl/>
        <w:tabs>
          <w:tab w:val="right" w:leader="dot" w:pos="8306"/>
        </w:tabs>
        <w:wordWrap/>
        <w:adjustRightInd/>
        <w:snapToGrid/>
        <w:spacing w:line="520" w:lineRule="exact"/>
        <w:ind w:right="0" w:firstLine="0" w:firstLineChars="0"/>
        <w:jc w:val="both"/>
        <w:textAlignment w:val="baseline"/>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_Toc3666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（六）舆论保障</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_Toc3666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- 56 -</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widowControl/>
        <w:wordWrap/>
        <w:adjustRightInd/>
        <w:snapToGrid/>
        <w:spacing w:line="520" w:lineRule="exact"/>
        <w:ind w:left="0" w:leftChars="0" w:right="0" w:firstLine="0" w:firstLineChars="0"/>
        <w:jc w:val="both"/>
        <w:textAlignment w:val="baseline"/>
        <w:outlineLvl w:val="9"/>
        <w:rPr>
          <w:rFonts w:hint="eastAsia"/>
          <w:sz w:val="28"/>
          <w:szCs w:val="28"/>
        </w:rPr>
      </w:pPr>
      <w:r>
        <w:rPr>
          <w:rFonts w:hint="eastAsia" w:ascii="仿宋_GB2312" w:hAnsi="仿宋_GB2312" w:eastAsia="仿宋_GB2312" w:cs="仿宋_GB2312"/>
          <w:kern w:val="2"/>
          <w:sz w:val="28"/>
          <w:szCs w:val="28"/>
          <w:lang w:val="en-US" w:eastAsia="zh-CN" w:bidi="ar-SA"/>
        </w:rPr>
        <w:fldChar w:fldCharType="end"/>
      </w:r>
    </w:p>
    <w:p>
      <w:pPr>
        <w:widowControl/>
        <w:wordWrap/>
        <w:adjustRightInd/>
        <w:snapToGrid/>
        <w:spacing w:line="240" w:lineRule="auto"/>
        <w:ind w:left="0" w:leftChars="0" w:right="0" w:firstLine="640" w:firstLineChars="200"/>
        <w:jc w:val="both"/>
        <w:textAlignment w:val="baseline"/>
        <w:outlineLvl w:val="9"/>
        <w:rPr>
          <w:rFonts w:hint="eastAsia" w:ascii="仿宋_GB2312" w:hAnsi="仿宋_GB2312" w:eastAsia="仿宋_GB2312" w:cs="仿宋_GB2312"/>
          <w:sz w:val="32"/>
          <w:szCs w:val="32"/>
        </w:rPr>
      </w:pPr>
    </w:p>
    <w:p>
      <w:pPr>
        <w:rPr>
          <w:rFonts w:hint="eastAsia" w:ascii="仿宋_GB2312" w:hAnsi="仿宋_GB2312" w:eastAsia="仿宋_GB2312" w:cs="仿宋_GB2312"/>
          <w:kern w:val="2"/>
          <w:sz w:val="32"/>
          <w:szCs w:val="32"/>
          <w:lang w:val="en-US" w:eastAsia="zh-CN" w:bidi="ar-SA"/>
        </w:rPr>
      </w:pPr>
    </w:p>
    <w:p>
      <w:pPr>
        <w:tabs>
          <w:tab w:val="left" w:pos="1726"/>
        </w:tabs>
        <w:jc w:val="left"/>
        <w:rPr>
          <w:rFonts w:hint="eastAsia"/>
          <w:lang w:val="en-US" w:eastAsia="zh-CN"/>
        </w:rPr>
        <w:sectPr>
          <w:footerReference r:id="rId5" w:type="default"/>
          <w:pgSz w:w="11906" w:h="16838"/>
          <w:pgMar w:top="1440" w:right="1800" w:bottom="1440" w:left="1800" w:header="851" w:footer="992" w:gutter="0"/>
          <w:pgNumType w:fmt="numberInDash" w:start="1"/>
          <w:cols w:space="720" w:num="1"/>
          <w:docGrid w:type="lines" w:linePitch="312" w:charSpace="0"/>
        </w:sectPr>
      </w:pPr>
      <w:r>
        <w:rPr>
          <w:rFonts w:hint="eastAsia" w:ascii="仿宋_GB2312" w:hAnsi="仿宋_GB2312" w:eastAsia="仿宋_GB2312" w:cs="仿宋_GB2312"/>
          <w:kern w:val="2"/>
          <w:sz w:val="32"/>
          <w:szCs w:val="32"/>
          <w:lang w:val="en-US" w:eastAsia="zh-CN" w:bidi="ar-SA"/>
        </w:rPr>
        <w:tab/>
      </w:r>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十四五”是在我国“两个百年”历史交汇点上，由全面建成小康社会向全面建设社会主义现代化国家迈进的关键时期。为加快推进教育现代化，建设教育强市，根据国家、省教育事业发展第十四个五年规划等有关文件精神，结合清远的实际情况制定本规划。</w:t>
      </w:r>
    </w:p>
    <w:p>
      <w:pPr>
        <w:pStyle w:val="2"/>
        <w:spacing w:line="560" w:lineRule="exact"/>
        <w:jc w:val="center"/>
        <w:rPr>
          <w:rFonts w:hint="default"/>
        </w:rPr>
      </w:pPr>
      <w:bookmarkStart w:id="0" w:name="_Toc67038411"/>
      <w:bookmarkStart w:id="1" w:name="_Toc32245"/>
      <w:bookmarkStart w:id="2" w:name="_Toc21607"/>
      <w:bookmarkStart w:id="3" w:name="_Toc31291"/>
      <w:bookmarkStart w:id="4" w:name="_Toc23252"/>
      <w:r>
        <w:rPr>
          <w:rFonts w:hint="default"/>
        </w:rPr>
        <w:t>一、发展基础</w:t>
      </w:r>
      <w:bookmarkEnd w:id="0"/>
      <w:bookmarkEnd w:id="1"/>
      <w:bookmarkEnd w:id="2"/>
      <w:bookmarkEnd w:id="3"/>
      <w:bookmarkEnd w:id="4"/>
    </w:p>
    <w:p>
      <w:pPr>
        <w:spacing w:line="560" w:lineRule="exact"/>
        <w:ind w:firstLine="640" w:firstLineChars="200"/>
        <w:rPr>
          <w:rStyle w:val="38"/>
          <w:rFonts w:ascii="仿宋_GB2312" w:hAnsi="仿宋_GB2312" w:eastAsia="仿宋_GB2312" w:cs="仿宋_GB2312"/>
          <w:color w:val="000000"/>
          <w:szCs w:val="32"/>
        </w:rPr>
      </w:pPr>
      <w:r>
        <w:rPr>
          <w:rFonts w:hint="eastAsia" w:ascii="仿宋_GB2312" w:hAnsi="仿宋_GB2312" w:eastAsia="仿宋_GB2312" w:cs="仿宋_GB2312"/>
          <w:sz w:val="32"/>
          <w:szCs w:val="32"/>
        </w:rPr>
        <w:t>“十三五”期间，是清远教育事业稳步前行的五年。“十三五”特别是十九大以来，全市教育系统以习近平新时代中国特色社会主义思想为指导，全面落实教育优先发展战略，准确把握清远教育事业发展面临的新形势新任务，聚焦改革创新，聚合优质资源，聚力教育提质，教育教学质量全面提升，教育发展水平走在粤东西北前列。2018年政府教育履职考核评价，清远市获得88分，居北部生态发展区首位。2019年清远市被省教育厅授予“广东省推进教育现代化先进市”称号，成为粤东西北首批推进教育现代化先进市。</w:t>
      </w:r>
    </w:p>
    <w:p>
      <w:pPr>
        <w:pStyle w:val="3"/>
        <w:ind w:firstLine="640"/>
        <w:rPr>
          <w:rStyle w:val="40"/>
          <w:bCs/>
        </w:rPr>
      </w:pPr>
      <w:bookmarkStart w:id="5" w:name="_Toc67038412"/>
      <w:bookmarkStart w:id="6" w:name="_Toc11882"/>
      <w:bookmarkStart w:id="7" w:name="_Toc18904"/>
      <w:bookmarkStart w:id="8" w:name="_Toc15029"/>
      <w:bookmarkStart w:id="9" w:name="_Toc17820"/>
      <w:bookmarkStart w:id="10" w:name="_Toc28774"/>
      <w:bookmarkStart w:id="11" w:name="_Toc12774"/>
      <w:r>
        <w:rPr>
          <w:rStyle w:val="40"/>
          <w:bCs/>
        </w:rPr>
        <w:t>（一）党对教育工作的领导得到全面加强</w:t>
      </w:r>
      <w:bookmarkEnd w:id="5"/>
      <w:bookmarkEnd w:id="6"/>
      <w:bookmarkEnd w:id="7"/>
      <w:bookmarkEnd w:id="8"/>
      <w:bookmarkEnd w:id="9"/>
      <w:bookmarkEnd w:id="10"/>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委、市政府高度重视，坚定不移推进教育改革发展和现代化。全面推进教育系统党的建设，成立市委教育工作领导小组，带领教育系统增强“四个意识”、坚定“四个自信”、做到“两个维护”，坚定社会主义办学方向，促进各级各类学校落实立德树人根本任务，确保政治安全、意识形态安全。在全省率先成立市委教育工委和8个县（市、区）教育系统党委，率先实现511所公办中小学100%成立（含联合成立）党组织并归属教育部门党组织。</w:t>
      </w:r>
    </w:p>
    <w:p>
      <w:pPr>
        <w:pStyle w:val="3"/>
        <w:ind w:firstLine="640"/>
        <w:rPr>
          <w:rFonts w:hint="eastAsia"/>
        </w:rPr>
        <w:sectPr>
          <w:footerReference r:id="rId6" w:type="default"/>
          <w:pgSz w:w="11906" w:h="16838"/>
          <w:pgMar w:top="1440" w:right="1800" w:bottom="1440" w:left="1800" w:header="851" w:footer="992" w:gutter="0"/>
          <w:pgNumType w:fmt="numberInDash" w:start="1"/>
          <w:cols w:space="720" w:num="1"/>
          <w:docGrid w:type="lines" w:linePitch="312" w:charSpace="0"/>
        </w:sectPr>
      </w:pPr>
      <w:bookmarkStart w:id="12" w:name="_Toc8812"/>
      <w:bookmarkStart w:id="13" w:name="_Toc67038413"/>
      <w:bookmarkStart w:id="14" w:name="_Toc18649"/>
      <w:bookmarkStart w:id="15" w:name="_Toc27703"/>
      <w:bookmarkStart w:id="16" w:name="_Toc18167"/>
      <w:bookmarkStart w:id="17" w:name="_Toc27203"/>
    </w:p>
    <w:p>
      <w:pPr>
        <w:pStyle w:val="3"/>
        <w:ind w:firstLine="640"/>
      </w:pPr>
      <w:r>
        <w:rPr>
          <w:rFonts w:hint="eastAsia"/>
        </w:rPr>
        <w:t>（二）立德树人</w:t>
      </w:r>
      <w:bookmarkEnd w:id="12"/>
      <w:r>
        <w:rPr>
          <w:rFonts w:hint="eastAsia"/>
        </w:rPr>
        <w:t>根本任务得到全面落实</w:t>
      </w:r>
      <w:bookmarkEnd w:id="13"/>
      <w:bookmarkEnd w:id="14"/>
      <w:bookmarkEnd w:id="15"/>
      <w:bookmarkEnd w:id="16"/>
      <w:bookmarkEnd w:id="17"/>
    </w:p>
    <w:p>
      <w:pPr>
        <w:wordWrap/>
        <w:adjustRightInd/>
        <w:snapToGrid/>
        <w:spacing w:line="560" w:lineRule="exact"/>
        <w:ind w:left="0" w:leftChars="0" w:right="0" w:firstLine="641"/>
        <w:jc w:val="both"/>
        <w:textAlignment w:val="baseline"/>
        <w:outlineLvl w:val="9"/>
        <w:rPr>
          <w:rFonts w:ascii="仿宋_GB2312" w:hAnsi="仿宋_GB2312" w:eastAsia="仿宋_GB2312" w:cs="仿宋_GB2312"/>
          <w:sz w:val="32"/>
          <w:szCs w:val="32"/>
        </w:rPr>
      </w:pPr>
      <w:bookmarkStart w:id="18" w:name="_Toc31458"/>
      <w:bookmarkStart w:id="19" w:name="_Toc27613"/>
      <w:r>
        <w:rPr>
          <w:rStyle w:val="35"/>
          <w:rFonts w:hint="eastAsia"/>
        </w:rPr>
        <w:t>1.未成年人思想道德建设成效显著。</w:t>
      </w:r>
      <w:bookmarkEnd w:id="18"/>
      <w:r>
        <w:rPr>
          <w:rFonts w:hint="eastAsia" w:ascii="仿宋_GB2312" w:hAnsi="仿宋_GB2312" w:eastAsia="仿宋_GB2312" w:cs="仿宋_GB2312"/>
          <w:sz w:val="32"/>
          <w:szCs w:val="32"/>
        </w:rPr>
        <w:t>2017年荣获广东省唯一的“全国未成年人思想道德建设工作先进城市”称号，2019年全国未成年人思想道德建设测评排名第四，连续两年名列全省第一。创建全国文明校园5所，省级文明校园6所，市级文明校园524所，市级文明校园创建率达100%，文明校园创建工作经验在全省推广。创建毒品预防教育示范校100所，实现了毒品预防教育全覆盖。</w:t>
      </w:r>
      <w:bookmarkEnd w:id="19"/>
      <w:bookmarkStart w:id="20" w:name="_Toc16476"/>
      <w:bookmarkStart w:id="21" w:name="_Toc18426"/>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sz w:val="32"/>
          <w:szCs w:val="32"/>
        </w:rPr>
      </w:pPr>
      <w:bookmarkStart w:id="22" w:name="_Toc1166"/>
      <w:r>
        <w:rPr>
          <w:rStyle w:val="35"/>
          <w:rFonts w:hint="eastAsia" w:ascii="仿宋_GB2312" w:hAnsi="仿宋_GB2312" w:cs="仿宋_GB2312"/>
        </w:rPr>
        <w:t>2.素质教育成绩斐然。</w:t>
      </w:r>
      <w:bookmarkEnd w:id="20"/>
      <w:bookmarkEnd w:id="21"/>
      <w:bookmarkEnd w:id="22"/>
      <w:r>
        <w:rPr>
          <w:rFonts w:hint="eastAsia" w:ascii="仿宋_GB2312" w:hAnsi="仿宋_GB2312" w:eastAsia="仿宋_GB2312" w:cs="仿宋_GB2312"/>
          <w:sz w:val="32"/>
          <w:szCs w:val="32"/>
        </w:rPr>
        <w:t>大力开展校园足球推广活动，清城区成功创建为“全国校园足球试点区”；88所学校创建为全国青少年校园足球特色学校，23所幼儿园创建为全国足球特色幼儿园，华侨中学足球队获得2018年第十五届广东省运动会学校组冠军，收获清远建市以来参加省级以上体育竞赛集体项目第一枚金牌。选派四支队伍参加2020年广东省“省长杯”青少年校园足球联赛（高中中职组）全省总决赛，全部进入全省前十六强。16所学校创建为广东省艺术教育特色学校，17所学校创建为中华优秀文化传承学校。5所学校被评为广东省中小学心理健康教育特色学校。</w:t>
      </w:r>
    </w:p>
    <w:p>
      <w:pPr>
        <w:widowControl w:val="0"/>
        <w:wordWrap/>
        <w:adjustRightInd/>
        <w:snapToGrid/>
        <w:spacing w:line="560" w:lineRule="exact"/>
        <w:ind w:left="0" w:leftChars="0" w:right="0" w:firstLine="640"/>
        <w:jc w:val="both"/>
        <w:textAlignment w:val="baseline"/>
        <w:outlineLvl w:val="9"/>
        <w:rPr>
          <w:rFonts w:ascii="仿宋_GB2312" w:hAnsi="仿宋_GB2312" w:eastAsia="仿宋_GB2312" w:cs="仿宋_GB2312"/>
          <w:sz w:val="32"/>
          <w:szCs w:val="32"/>
        </w:rPr>
      </w:pPr>
      <w:bookmarkStart w:id="23" w:name="_Toc2080"/>
      <w:bookmarkStart w:id="24" w:name="_Toc16935"/>
      <w:bookmarkStart w:id="25" w:name="_Toc21087"/>
      <w:r>
        <w:rPr>
          <w:rStyle w:val="35"/>
          <w:rFonts w:hint="eastAsia" w:ascii="仿宋_GB2312" w:hAnsi="仿宋_GB2312" w:cs="仿宋_GB2312"/>
        </w:rPr>
        <w:t>3.文化育人结硕果。</w:t>
      </w:r>
      <w:bookmarkEnd w:id="23"/>
      <w:bookmarkEnd w:id="24"/>
      <w:bookmarkEnd w:id="25"/>
      <w:r>
        <w:rPr>
          <w:rFonts w:hint="eastAsia" w:ascii="仿宋_GB2312" w:hAnsi="仿宋_GB2312" w:eastAsia="仿宋_GB2312" w:cs="仿宋_GB2312"/>
          <w:sz w:val="32"/>
          <w:szCs w:val="32"/>
        </w:rPr>
        <w:t>全面推进学校文化建设工作，2016年至2020年，共评选市级示范校83所，打造了一批个性鲜明、理念先进、环境优雅、内涵丰富的高品位学校。《清远市学校文化建设经验成果集》于2020年3月出版。</w:t>
      </w:r>
      <w:bookmarkStart w:id="26" w:name="_Toc8728"/>
      <w:bookmarkStart w:id="27" w:name="_Toc67038414"/>
      <w:bookmarkStart w:id="28" w:name="_Toc17416"/>
    </w:p>
    <w:p>
      <w:pPr>
        <w:pStyle w:val="3"/>
        <w:ind w:firstLine="640"/>
      </w:pPr>
      <w:bookmarkStart w:id="29" w:name="_Toc10668"/>
      <w:bookmarkStart w:id="30" w:name="_Toc6983"/>
      <w:bookmarkStart w:id="31" w:name="_Toc4123"/>
      <w:r>
        <w:rPr>
          <w:rFonts w:hint="eastAsia"/>
        </w:rPr>
        <w:t>（三）各级各类教育事业取得新成就</w:t>
      </w:r>
      <w:bookmarkEnd w:id="11"/>
      <w:bookmarkEnd w:id="26"/>
      <w:bookmarkEnd w:id="27"/>
      <w:bookmarkEnd w:id="28"/>
      <w:bookmarkEnd w:id="29"/>
      <w:bookmarkEnd w:id="30"/>
      <w:bookmarkEnd w:id="31"/>
    </w:p>
    <w:p>
      <w:pPr>
        <w:spacing w:line="560" w:lineRule="exact"/>
        <w:ind w:firstLine="640" w:firstLineChars="200"/>
        <w:rPr>
          <w:rStyle w:val="38"/>
          <w:rFonts w:ascii="仿宋_GB2312" w:hAnsi="仿宋_GB2312" w:eastAsia="仿宋_GB2312" w:cs="仿宋_GB2312"/>
          <w:szCs w:val="32"/>
        </w:rPr>
      </w:pPr>
      <w:r>
        <w:rPr>
          <w:rFonts w:hint="eastAsia" w:ascii="仿宋_GB2312" w:hAnsi="仿宋_GB2312" w:eastAsia="仿宋_GB2312" w:cs="仿宋_GB2312"/>
          <w:sz w:val="32"/>
          <w:szCs w:val="32"/>
        </w:rPr>
        <w:t>大力推进“5080”攻坚行动，学前教育毛入园率达101.28%，公办（含公办性质）幼儿园在园幼儿占比达54.12%，公办幼儿园和普惠性民办幼儿园在园幼儿数占比达85.38%。。全市公、民办义务教育标准化学校100%覆盖。高中阶段教育毛入学率由2015年的92.5%提高到目前的100.06%，在参加高考人数连年减少的情况下，高考重本上线率及本科上线率均稳步上升。建成特殊教育学校7所（其中十三五期间建成的应为2所）、特教资源中心4个、资源教室82间，残疾儿童少年义务教育入学率达98.91%。2018年我市成功入选教育部第三批现代学徒制试点单位，是该批次全国唯一试点地区单位。全市14所中职学校共有44个专业，遍布12个专业大类，专业设置与全市主导产业重合率达到95%以上。广东省职教城建设项目首期工程基本完成，全日制在校生7.64万人。引进我市第一所本科院校——广东金融学院。6个县（市、区）成功创建成为广东省社区教育实验区。英德市成功创建为第三批国家级农村职业教育和成人教育示范县，终身教育实现突破。</w:t>
      </w:r>
    </w:p>
    <w:p>
      <w:pPr>
        <w:pStyle w:val="3"/>
        <w:ind w:firstLine="640"/>
      </w:pPr>
      <w:bookmarkStart w:id="32" w:name="_Toc67038415"/>
      <w:bookmarkStart w:id="33" w:name="_Toc27883"/>
      <w:bookmarkStart w:id="34" w:name="_Toc11980"/>
      <w:bookmarkStart w:id="35" w:name="_Toc18776"/>
      <w:bookmarkStart w:id="36" w:name="_Toc18992"/>
      <w:bookmarkStart w:id="37" w:name="_Toc8032"/>
      <w:bookmarkStart w:id="38" w:name="_Toc27215"/>
      <w:r>
        <w:rPr>
          <w:rFonts w:hint="eastAsia"/>
        </w:rPr>
        <w:t>（四）公平而有质量的教育取得新进展</w:t>
      </w:r>
      <w:bookmarkEnd w:id="32"/>
      <w:bookmarkEnd w:id="33"/>
      <w:bookmarkEnd w:id="34"/>
      <w:bookmarkEnd w:id="35"/>
      <w:bookmarkEnd w:id="36"/>
      <w:bookmarkEnd w:id="37"/>
      <w:bookmarkEnd w:id="38"/>
    </w:p>
    <w:p>
      <w:pPr>
        <w:widowControl/>
        <w:wordWrap/>
        <w:adjustRightInd/>
        <w:snapToGrid/>
        <w:spacing w:line="560" w:lineRule="exact"/>
        <w:ind w:left="0" w:leftChars="0" w:right="0" w:firstLine="640" w:firstLineChars="200"/>
        <w:jc w:val="both"/>
        <w:textAlignment w:val="baseline"/>
        <w:outlineLvl w:val="9"/>
        <w:rPr>
          <w:rStyle w:val="38"/>
          <w:rFonts w:ascii="仿宋_GB2312" w:hAnsi="仿宋_GB2312" w:eastAsia="仿宋_GB2312" w:cs="仿宋_GB2312"/>
          <w:szCs w:val="32"/>
        </w:rPr>
      </w:pPr>
      <w:bookmarkStart w:id="39" w:name="_Toc18973"/>
      <w:bookmarkStart w:id="40" w:name="_Toc29012"/>
      <w:bookmarkStart w:id="41" w:name="_Toc18091"/>
      <w:r>
        <w:rPr>
          <w:rStyle w:val="35"/>
          <w:rFonts w:hint="eastAsia" w:ascii="仿宋_GB2312" w:hAnsi="仿宋_GB2312" w:cs="仿宋_GB2312"/>
        </w:rPr>
        <w:t>1.加大学位供给，有效缓解“上学难”问题</w:t>
      </w:r>
      <w:bookmarkEnd w:id="39"/>
      <w:r>
        <w:rPr>
          <w:rStyle w:val="35"/>
          <w:rFonts w:hint="eastAsia" w:ascii="仿宋_GB2312" w:hAnsi="仿宋_GB2312" w:cs="仿宋_GB2312"/>
        </w:rPr>
        <w:t>。</w:t>
      </w:r>
      <w:bookmarkEnd w:id="40"/>
      <w:bookmarkEnd w:id="41"/>
      <w:r>
        <w:rPr>
          <w:rFonts w:hint="eastAsia" w:ascii="仿宋_GB2312" w:hAnsi="仿宋_GB2312" w:eastAsia="仿宋_GB2312" w:cs="仿宋_GB2312"/>
          <w:sz w:val="32"/>
          <w:szCs w:val="32"/>
        </w:rPr>
        <w:t>2017年，市政府颁发《清远市教育设施规划建设管理规定》（清远市人民政府第1号令），重点解决城镇新建住宅小区配套建设教育设施同步规划、同步设计、同步建设、同步验收、同步交付使用以及无偿移交问题。同时，连续三年将“加大学前教育、义务教育优质学位供给”列入市政府民生实事重点推进，“十三五”期间，累计新增学位</w:t>
      </w:r>
      <w:r>
        <w:rPr>
          <w:rFonts w:hint="eastAsia" w:ascii="仿宋_GB2312" w:hAnsi="仿宋_GB2312" w:eastAsia="仿宋_GB2312" w:cs="仿宋_GB2312"/>
          <w:color w:val="FF0000"/>
          <w:sz w:val="32"/>
          <w:szCs w:val="32"/>
        </w:rPr>
        <w:t>11692</w:t>
      </w:r>
      <w:r>
        <w:rPr>
          <w:rFonts w:hint="eastAsia" w:ascii="仿宋_GB2312" w:hAnsi="仿宋_GB2312" w:eastAsia="仿宋_GB2312" w:cs="仿宋_GB2312"/>
          <w:sz w:val="32"/>
          <w:szCs w:val="32"/>
        </w:rPr>
        <w:t>个。</w:t>
      </w:r>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sz w:val="32"/>
          <w:szCs w:val="32"/>
        </w:rPr>
      </w:pPr>
      <w:bookmarkStart w:id="42" w:name="_Toc4889"/>
      <w:bookmarkStart w:id="43" w:name="_Toc31407"/>
      <w:bookmarkStart w:id="44" w:name="_Toc16666"/>
      <w:r>
        <w:rPr>
          <w:rStyle w:val="35"/>
          <w:rFonts w:hint="eastAsia" w:ascii="仿宋_GB2312" w:hAnsi="仿宋_GB2312" w:cs="仿宋_GB2312"/>
        </w:rPr>
        <w:t>2.城乡教育一体化取得新进展。</w:t>
      </w:r>
      <w:bookmarkEnd w:id="42"/>
      <w:bookmarkEnd w:id="43"/>
      <w:bookmarkEnd w:id="44"/>
      <w:r>
        <w:rPr>
          <w:rFonts w:hint="eastAsia" w:ascii="仿宋_GB2312" w:hAnsi="仿宋_GB2312" w:eastAsia="仿宋_GB2312" w:cs="仿宋_GB2312"/>
          <w:sz w:val="32"/>
          <w:szCs w:val="32"/>
        </w:rPr>
        <w:t>作为省级农村义务教育寄宿制学校建设试点市，累计投入2.52亿元资金改善寄宿制学校办学条件，新增寄宿制学位8295个，减少教学点80个，实现教育资源配置的进一步优化。</w:t>
      </w:r>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sz w:val="32"/>
          <w:szCs w:val="32"/>
        </w:rPr>
      </w:pPr>
      <w:bookmarkStart w:id="45" w:name="_Toc22092"/>
      <w:bookmarkStart w:id="46" w:name="_Toc21289"/>
      <w:bookmarkStart w:id="47" w:name="_Toc29170"/>
      <w:r>
        <w:rPr>
          <w:rStyle w:val="35"/>
          <w:rFonts w:hint="eastAsia" w:ascii="仿宋_GB2312" w:hAnsi="仿宋_GB2312" w:cs="仿宋_GB2312"/>
        </w:rPr>
        <w:t>3.教育帮扶取得新成效。</w:t>
      </w:r>
      <w:bookmarkEnd w:id="45"/>
      <w:bookmarkEnd w:id="46"/>
      <w:bookmarkEnd w:id="47"/>
      <w:r>
        <w:rPr>
          <w:rFonts w:hint="eastAsia" w:ascii="仿宋_GB2312" w:hAnsi="仿宋_GB2312" w:eastAsia="仿宋_GB2312" w:cs="仿宋_GB2312"/>
          <w:sz w:val="32"/>
          <w:szCs w:val="32"/>
        </w:rPr>
        <w:t>广清教育帮扶逐步深化，十三五期间，广州中小学结对帮扶清远学校达303所，其中“校镇结对”乡镇学校97所，两地结对帮扶学校涵盖了幼儿园，义务教育、特殊教育、高中教育和职业教育学校；广清两地累计组织教师、校长进行培训、跟岗学习交流活动1万多人次；培育清远骨干教师（含校长）1.3万人；广州市、区两级筹措资金约6亿多元，支持清远新建小学3所，改扩建学校20多所，累计增加学位1万多个；引进广州名校创办清远分校3所、联合办学办班累计14个。与此同时，深入实施“南联北扶”战略，对北部地区实行资金投入、信息化装备建设、教师培训、评优评先等“4个倾斜”，大力提升北部地区办学水平。北部地区基本公共教育服务水平已基本达到南部地区平均水平的90%以上。</w:t>
      </w:r>
    </w:p>
    <w:p>
      <w:pPr>
        <w:widowControl/>
        <w:wordWrap/>
        <w:adjustRightInd/>
        <w:snapToGrid/>
        <w:spacing w:line="560" w:lineRule="exact"/>
        <w:ind w:left="0" w:leftChars="0" w:right="0" w:firstLine="640" w:firstLineChars="200"/>
        <w:jc w:val="both"/>
        <w:textAlignment w:val="baseline"/>
        <w:outlineLvl w:val="9"/>
        <w:rPr>
          <w:rStyle w:val="38"/>
          <w:rFonts w:ascii="仿宋_GB2312" w:hAnsi="仿宋_GB2312" w:eastAsia="仿宋_GB2312" w:cs="仿宋_GB2312"/>
          <w:szCs w:val="32"/>
        </w:rPr>
      </w:pPr>
      <w:bookmarkStart w:id="48" w:name="_Toc2289"/>
      <w:bookmarkStart w:id="49" w:name="_Toc21896"/>
      <w:bookmarkStart w:id="50" w:name="_Toc21231"/>
      <w:r>
        <w:rPr>
          <w:rStyle w:val="35"/>
          <w:rFonts w:hint="eastAsia" w:ascii="仿宋_GB2312" w:hAnsi="仿宋_GB2312" w:cs="仿宋_GB2312"/>
        </w:rPr>
        <w:t>4.扶贫助学彰显教育公平。</w:t>
      </w:r>
      <w:bookmarkEnd w:id="48"/>
      <w:bookmarkEnd w:id="49"/>
      <w:bookmarkEnd w:id="50"/>
      <w:r>
        <w:rPr>
          <w:rFonts w:hint="eastAsia" w:ascii="仿宋_GB2312" w:hAnsi="仿宋_GB2312" w:eastAsia="仿宋_GB2312" w:cs="仿宋_GB2312"/>
          <w:sz w:val="32"/>
          <w:szCs w:val="32"/>
        </w:rPr>
        <w:t>实施“农村义务教育阶段学生营养改善计划”和“农村义务教育阶段住宿生伙食补助计划”，对经济困难的住宿学生给予每生每年600元标准的伙食补助。2016年以来，每年度资助学生38万人次、资助金额均达2.6亿元以上。积极解决进城务工人员随迁子女“读书难”问题，进城务工人员随迁子女入读公办学校占比达83.04%。全市九年义务教育巩固率达98.34%。</w:t>
      </w:r>
    </w:p>
    <w:p>
      <w:pPr>
        <w:pStyle w:val="3"/>
        <w:ind w:firstLine="640"/>
      </w:pPr>
      <w:bookmarkStart w:id="51" w:name="_Toc17443"/>
      <w:bookmarkStart w:id="52" w:name="_Toc67038416"/>
      <w:bookmarkStart w:id="53" w:name="_Toc22554"/>
      <w:bookmarkStart w:id="54" w:name="_Toc30337"/>
      <w:bookmarkStart w:id="55" w:name="_Toc14392"/>
      <w:bookmarkStart w:id="56" w:name="_Toc11958"/>
      <w:bookmarkStart w:id="57" w:name="_Toc6559"/>
      <w:r>
        <w:rPr>
          <w:rFonts w:hint="eastAsia"/>
        </w:rPr>
        <w:t>（五）教育体制机制改革</w:t>
      </w:r>
      <w:bookmarkEnd w:id="51"/>
      <w:bookmarkEnd w:id="52"/>
      <w:bookmarkEnd w:id="53"/>
      <w:r>
        <w:rPr>
          <w:rFonts w:hint="eastAsia"/>
        </w:rPr>
        <w:t>取得新成效</w:t>
      </w:r>
      <w:bookmarkEnd w:id="54"/>
      <w:bookmarkEnd w:id="55"/>
      <w:bookmarkEnd w:id="56"/>
      <w:bookmarkEnd w:id="5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先后出台《清远市人民政府办公室关于推进全市中小学校教师“县管校聘”管理改革工作的意见（试行）》《清远市人民政府办公室关于统筹推进县域内城乡义务教育一体化改革发展的实施意见》等10余份文件，稳步推进“县管校聘”“局管校聘”、农村义务教育寄宿制学校建设试点、全市县域内城乡义务教育一体化改革发展、中高考考试招生制度改革、普通高中协同发展试点工作等改革工作，教育综合改革取得明显成效。</w:t>
      </w:r>
    </w:p>
    <w:p>
      <w:pPr>
        <w:pStyle w:val="3"/>
        <w:ind w:firstLine="640"/>
      </w:pPr>
      <w:bookmarkStart w:id="58" w:name="_Toc4775"/>
      <w:bookmarkStart w:id="59" w:name="_Toc24819"/>
      <w:bookmarkStart w:id="60" w:name="_Toc14146"/>
      <w:bookmarkStart w:id="61" w:name="_Toc31756"/>
      <w:bookmarkStart w:id="62" w:name="_Toc6277"/>
      <w:bookmarkStart w:id="63" w:name="_Toc18757"/>
      <w:r>
        <w:rPr>
          <w:rFonts w:hint="eastAsia"/>
        </w:rPr>
        <w:t>（六）对外合作交流实现新拓展</w:t>
      </w:r>
      <w:bookmarkEnd w:id="58"/>
      <w:bookmarkEnd w:id="59"/>
      <w:bookmarkEnd w:id="60"/>
      <w:bookmarkEnd w:id="6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分别与美国、加拿大、丹麦、新西兰、马来西亚、芬兰、瑞典、新加坡、香港等国家和地区开展教育交流合作，签订教育交流合作备忘录69份，派出学习交流200人次。</w:t>
      </w:r>
    </w:p>
    <w:p>
      <w:pPr>
        <w:spacing w:line="560" w:lineRule="exact"/>
        <w:ind w:firstLine="640" w:firstLineChars="200"/>
        <w:rPr>
          <w:rFonts w:hint="eastAsia" w:ascii="仿宋_GB2312" w:hAnsi="仿宋_GB2312" w:eastAsia="仿宋_GB2312" w:cs="仿宋_GB2312"/>
          <w:sz w:val="32"/>
          <w:szCs w:val="32"/>
        </w:rPr>
      </w:pPr>
    </w:p>
    <w:p>
      <w:pPr>
        <w:jc w:val="left"/>
        <w:textAlignment w:val="auto"/>
        <w:rPr>
          <w:rFonts w:eastAsia="黑体"/>
          <w:bCs/>
          <w:color w:val="FF0000"/>
          <w:kern w:val="0"/>
          <w:sz w:val="30"/>
          <w:szCs w:val="30"/>
        </w:rPr>
      </w:pPr>
      <w:bookmarkStart w:id="64" w:name="_Toc67038418"/>
      <w:r>
        <w:rPr>
          <w:rFonts w:hint="eastAsia" w:eastAsia="黑体"/>
          <w:sz w:val="30"/>
          <w:szCs w:val="30"/>
        </w:rPr>
        <w:t>清远市教育事业发展“十三五”规划主要目标完成情况</w:t>
      </w:r>
    </w:p>
    <w:tbl>
      <w:tblPr>
        <w:tblStyle w:val="23"/>
        <w:tblpPr w:leftFromText="180" w:rightFromText="180" w:vertAnchor="text" w:horzAnchor="page" w:tblpX="1405" w:tblpY="611"/>
        <w:tblOverlap w:val="never"/>
        <w:tblW w:w="8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
        <w:gridCol w:w="3921"/>
        <w:gridCol w:w="1365"/>
        <w:gridCol w:w="114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 w:hRule="atLeast"/>
        </w:trPr>
        <w:tc>
          <w:tcPr>
            <w:tcW w:w="476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eastAsia="黑体"/>
                <w:sz w:val="24"/>
              </w:rPr>
            </w:pPr>
            <w:r>
              <w:rPr>
                <w:rFonts w:hint="eastAsia" w:eastAsia="黑体"/>
                <w:sz w:val="24"/>
              </w:rPr>
              <w:t xml:space="preserve">指 </w:t>
            </w:r>
            <w:r>
              <w:rPr>
                <w:rFonts w:eastAsia="黑体"/>
                <w:sz w:val="24"/>
              </w:rPr>
              <w:t xml:space="preserve"> </w:t>
            </w:r>
            <w:r>
              <w:rPr>
                <w:rFonts w:hint="eastAsia" w:eastAsia="黑体"/>
                <w:sz w:val="24"/>
              </w:rPr>
              <w:t>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eastAsia="黑体"/>
                <w:sz w:val="24"/>
              </w:rPr>
            </w:pPr>
            <w:r>
              <w:rPr>
                <w:rFonts w:eastAsia="黑体"/>
                <w:sz w:val="24"/>
              </w:rPr>
              <w:t>2015</w:t>
            </w:r>
            <w:r>
              <w:rPr>
                <w:rFonts w:hint="eastAsia" w:eastAsia="黑体"/>
                <w:sz w:val="24"/>
              </w:rPr>
              <w:t>年</w:t>
            </w:r>
          </w:p>
        </w:tc>
        <w:tc>
          <w:tcPr>
            <w:tcW w:w="1140"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eastAsia="黑体"/>
                <w:sz w:val="24"/>
              </w:rPr>
            </w:pPr>
            <w:r>
              <w:rPr>
                <w:rFonts w:hint="eastAsia" w:eastAsia="黑体"/>
                <w:sz w:val="24"/>
              </w:rPr>
              <w:t>2020年</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40" w:lineRule="exact"/>
              <w:contextualSpacing/>
              <w:jc w:val="center"/>
              <w:rPr>
                <w:rFonts w:eastAsia="黑体"/>
                <w:sz w:val="24"/>
              </w:rPr>
            </w:pPr>
            <w:r>
              <w:rPr>
                <w:rFonts w:hint="eastAsia" w:eastAsia="黑体"/>
                <w:sz w:val="24"/>
              </w:rPr>
              <w:t>增幅（</w:t>
            </w:r>
            <w:r>
              <w:rPr>
                <w:rFonts w:eastAsia="黑体"/>
                <w:sz w:val="24"/>
              </w:rPr>
              <w:t>%</w:t>
            </w:r>
            <w:r>
              <w:rPr>
                <w:rFonts w:hint="eastAsia"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r>
              <w:rPr>
                <w:rFonts w:hint="eastAsia"/>
                <w:sz w:val="24"/>
              </w:rPr>
              <w:t>学前</w:t>
            </w:r>
          </w:p>
          <w:p>
            <w:pPr>
              <w:spacing w:line="460" w:lineRule="exact"/>
              <w:contextualSpacing/>
              <w:jc w:val="center"/>
              <w:rPr>
                <w:sz w:val="24"/>
              </w:rPr>
            </w:pPr>
            <w:r>
              <w:rPr>
                <w:rFonts w:hint="eastAsia"/>
                <w:sz w:val="24"/>
              </w:rPr>
              <w:t>教育</w:t>
            </w: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幼儿园数（所）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628</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818</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公办幼儿园数（所）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189</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208</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学前三年毛入学率（</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96.71</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101.28</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在园幼儿数（人）</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156763</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171158</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r>
              <w:rPr>
                <w:rFonts w:hint="eastAsia"/>
                <w:sz w:val="24"/>
              </w:rPr>
              <w:t>义务</w:t>
            </w:r>
          </w:p>
          <w:p>
            <w:pPr>
              <w:spacing w:line="460" w:lineRule="exact"/>
              <w:contextualSpacing/>
              <w:jc w:val="center"/>
              <w:rPr>
                <w:sz w:val="24"/>
              </w:rPr>
            </w:pPr>
            <w:r>
              <w:rPr>
                <w:rFonts w:hint="eastAsia"/>
                <w:sz w:val="24"/>
              </w:rPr>
              <w:t>教育</w:t>
            </w: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义务教育学校数（所）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468</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494</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公办义务教育学校数（所）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443</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468</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小学适龄儿童入学率（</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100</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100</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小学毕业生升学率（</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99.95</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100</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初中毕业生升学率（</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98.85</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99.14</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4"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r>
              <w:rPr>
                <w:rFonts w:hint="eastAsia"/>
                <w:sz w:val="24"/>
              </w:rPr>
              <w:t>高中</w:t>
            </w:r>
          </w:p>
          <w:p>
            <w:pPr>
              <w:spacing w:line="460" w:lineRule="exact"/>
              <w:contextualSpacing/>
              <w:jc w:val="center"/>
              <w:rPr>
                <w:sz w:val="24"/>
              </w:rPr>
            </w:pPr>
            <w:r>
              <w:rPr>
                <w:rFonts w:hint="eastAsia"/>
                <w:sz w:val="24"/>
              </w:rPr>
              <w:t>阶段</w:t>
            </w:r>
          </w:p>
          <w:p>
            <w:pPr>
              <w:spacing w:line="460" w:lineRule="exact"/>
              <w:contextualSpacing/>
              <w:jc w:val="center"/>
              <w:rPr>
                <w:sz w:val="24"/>
              </w:rPr>
            </w:pPr>
            <w:r>
              <w:rPr>
                <w:rFonts w:hint="eastAsia"/>
                <w:sz w:val="24"/>
              </w:rPr>
              <w:t>教育</w:t>
            </w: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普通高中（含十二年一贯制、完全中学）学校数（所）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31</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33</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中等职业教育（含技工学校）</w:t>
            </w:r>
          </w:p>
          <w:p>
            <w:pPr>
              <w:spacing w:line="460" w:lineRule="exact"/>
              <w:contextualSpacing/>
              <w:jc w:val="center"/>
              <w:rPr>
                <w:sz w:val="24"/>
              </w:rPr>
            </w:pPr>
            <w:r>
              <w:rPr>
                <w:rFonts w:hint="eastAsia"/>
                <w:sz w:val="24"/>
              </w:rPr>
              <w:t>学校数（所）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21</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18</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高中阶段毛入学率（</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92.53</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100.06</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r>
              <w:rPr>
                <w:rFonts w:hint="eastAsia"/>
                <w:sz w:val="24"/>
              </w:rPr>
              <w:t>特殊</w:t>
            </w:r>
          </w:p>
          <w:p>
            <w:pPr>
              <w:spacing w:line="460" w:lineRule="exact"/>
              <w:contextualSpacing/>
              <w:jc w:val="center"/>
              <w:rPr>
                <w:sz w:val="24"/>
              </w:rPr>
            </w:pPr>
            <w:r>
              <w:rPr>
                <w:rFonts w:hint="eastAsia"/>
                <w:sz w:val="24"/>
              </w:rPr>
              <w:t>教育</w:t>
            </w: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特殊教育学校数（所）</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5</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7</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学生总数（人）</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2157</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3512</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适龄残疾儿童少年入学率（</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98.09</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98.91</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4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r>
              <w:rPr>
                <w:rFonts w:hint="eastAsia"/>
                <w:sz w:val="24"/>
              </w:rPr>
              <w:t>师资</w:t>
            </w:r>
          </w:p>
          <w:p>
            <w:pPr>
              <w:spacing w:line="460" w:lineRule="exact"/>
              <w:contextualSpacing/>
              <w:jc w:val="center"/>
              <w:rPr>
                <w:sz w:val="24"/>
              </w:rPr>
            </w:pPr>
            <w:r>
              <w:rPr>
                <w:rFonts w:hint="eastAsia"/>
                <w:sz w:val="24"/>
              </w:rPr>
              <w:t>队伍</w:t>
            </w:r>
          </w:p>
          <w:p>
            <w:pPr>
              <w:spacing w:line="460" w:lineRule="exact"/>
              <w:contextualSpacing/>
              <w:jc w:val="center"/>
              <w:rPr>
                <w:sz w:val="24"/>
              </w:rPr>
            </w:pPr>
            <w:r>
              <w:rPr>
                <w:rFonts w:hint="eastAsia"/>
                <w:sz w:val="24"/>
              </w:rPr>
              <w:t>情况</w:t>
            </w: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幼儿园专任教师专科以上学历比例（</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64.6</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81.0</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小学专任教师专科以上学历比例（</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92.3</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97.6</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初中专任教师本科以上学历比例（</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80.02</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91.0</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普通高中专任教师本科以上学历比例（</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98.8</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99.0</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sz w:val="24"/>
              </w:rPr>
            </w:pPr>
          </w:p>
        </w:tc>
        <w:tc>
          <w:tcPr>
            <w:tcW w:w="3921"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中职学校专任教师本科以上学历比例（</w:t>
            </w:r>
            <w:r>
              <w:rPr>
                <w:sz w:val="24"/>
              </w:rPr>
              <w:t>%</w:t>
            </w:r>
            <w:r>
              <w:rPr>
                <w:rFonts w:hint="eastAsia"/>
                <w:sz w:val="24"/>
              </w:rPr>
              <w:t>）</w:t>
            </w:r>
          </w:p>
        </w:tc>
        <w:tc>
          <w:tcPr>
            <w:tcW w:w="1365"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sz w:val="24"/>
              </w:rPr>
              <w:t>87.5</w:t>
            </w:r>
          </w:p>
        </w:tc>
        <w:tc>
          <w:tcPr>
            <w:tcW w:w="114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93.5</w:t>
            </w:r>
          </w:p>
        </w:tc>
        <w:tc>
          <w:tcPr>
            <w:tcW w:w="1410" w:type="dxa"/>
            <w:tcBorders>
              <w:top w:val="single" w:color="auto" w:sz="4" w:space="0"/>
              <w:left w:val="single" w:color="auto" w:sz="4" w:space="0"/>
              <w:bottom w:val="single" w:color="auto" w:sz="4" w:space="0"/>
              <w:right w:val="single" w:color="auto" w:sz="4" w:space="0"/>
            </w:tcBorders>
            <w:vAlign w:val="top"/>
          </w:tcPr>
          <w:p>
            <w:pPr>
              <w:spacing w:line="460" w:lineRule="exact"/>
              <w:contextualSpacing/>
              <w:jc w:val="center"/>
              <w:rPr>
                <w:sz w:val="24"/>
              </w:rPr>
            </w:pPr>
            <w:r>
              <w:rPr>
                <w:rFonts w:hint="eastAsia"/>
                <w:sz w:val="24"/>
              </w:rPr>
              <w:t>6.0</w:t>
            </w:r>
          </w:p>
        </w:tc>
      </w:tr>
    </w:tbl>
    <w:p/>
    <w:p>
      <w:bookmarkStart w:id="65" w:name="_Toc640"/>
    </w:p>
    <w:p>
      <w:pPr>
        <w:pStyle w:val="3"/>
        <w:ind w:firstLine="640"/>
      </w:pPr>
      <w:bookmarkStart w:id="66" w:name="_Toc24192"/>
      <w:bookmarkStart w:id="67" w:name="_Toc650"/>
      <w:bookmarkStart w:id="68" w:name="_Toc5884"/>
      <w:r>
        <w:t>（七）面临的新形势与新挑战</w:t>
      </w:r>
      <w:bookmarkEnd w:id="62"/>
      <w:bookmarkEnd w:id="63"/>
      <w:bookmarkEnd w:id="64"/>
      <w:bookmarkEnd w:id="65"/>
      <w:bookmarkEnd w:id="66"/>
      <w:bookmarkEnd w:id="67"/>
      <w:bookmarkEnd w:id="68"/>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五”清远教育取得了长足发展，但还未能完全适应经济社会高质量发展的需要，特别是与珠三角发达地区相比差距很大，不能满足人民群众对优质教育的需求，主要表现在：一是教育教学质量有待提高，教育科研氛围不浓；二是教育发展不平衡，南部与北部，城镇与农村之间教育的发展水平差距较大；三是教师队伍的整体素质和结构未能适应基础教育高质量发展的要求，特别是市中心区域教师缺编问题比较严重；四是教育保障水平，特别是在用地规划、资金投入等方面有待提高。</w:t>
      </w:r>
    </w:p>
    <w:p>
      <w:pPr>
        <w:pStyle w:val="2"/>
        <w:widowControl w:val="0"/>
        <w:wordWrap/>
        <w:adjustRightInd/>
        <w:snapToGrid/>
        <w:spacing w:line="240" w:lineRule="auto"/>
        <w:ind w:left="0" w:leftChars="0" w:right="0" w:firstLine="0" w:firstLineChars="0"/>
        <w:jc w:val="center"/>
        <w:textAlignment w:val="baseline"/>
        <w:outlineLvl w:val="0"/>
      </w:pPr>
      <w:bookmarkStart w:id="69" w:name="_Toc27723"/>
      <w:bookmarkStart w:id="70" w:name="_Toc20061"/>
      <w:bookmarkStart w:id="71" w:name="_Toc3701"/>
    </w:p>
    <w:p>
      <w:pPr>
        <w:pStyle w:val="2"/>
        <w:widowControl w:val="0"/>
        <w:wordWrap/>
        <w:adjustRightInd/>
        <w:snapToGrid/>
        <w:spacing w:line="240" w:lineRule="auto"/>
        <w:ind w:left="0" w:leftChars="0" w:right="0" w:firstLine="0" w:firstLineChars="0"/>
        <w:jc w:val="center"/>
        <w:textAlignment w:val="baseline"/>
        <w:outlineLvl w:val="0"/>
        <w:rPr>
          <w:rFonts w:hint="default"/>
        </w:rPr>
      </w:pPr>
      <w:r>
        <w:t>二、总体要求</w:t>
      </w:r>
      <w:bookmarkEnd w:id="69"/>
      <w:bookmarkEnd w:id="70"/>
      <w:bookmarkEnd w:id="71"/>
    </w:p>
    <w:p>
      <w:pPr>
        <w:pStyle w:val="3"/>
        <w:ind w:left="0" w:leftChars="0" w:firstLine="0" w:firstLineChars="0"/>
      </w:pPr>
      <w:bookmarkStart w:id="72" w:name="_Toc6278"/>
      <w:bookmarkStart w:id="73" w:name="_Toc9862"/>
      <w:bookmarkStart w:id="74" w:name="_Toc3217"/>
      <w:bookmarkStart w:id="75" w:name="_Toc25177"/>
      <w:r>
        <w:rPr>
          <w:rFonts w:hint="eastAsia"/>
          <w:lang w:val="en-US" w:eastAsia="zh-CN"/>
        </w:rPr>
        <w:t xml:space="preserve">    </w:t>
      </w:r>
      <w:r>
        <w:t>（一）指导思想</w:t>
      </w:r>
      <w:bookmarkEnd w:id="72"/>
      <w:bookmarkEnd w:id="73"/>
      <w:bookmarkEnd w:id="74"/>
      <w:bookmarkEnd w:id="75"/>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坚持以习近平新时代中国特色社会主义思想为指导，立足新发展阶段，贯彻新发展理念，构建新发展格局，紧扣省委“1+1+9”工作部署，牢牢把握“双区驱动”和广东省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s://www.so.com/link?m=bjo8wZ6Co4YRmKJhifqwKtnWQjYuTVv3C4RmuTfhr99/uEL7C+u6zTP2UyS4/11pKx9sZiZgdBvDeSHBLZu9mCoqUese0f/GcpX6PDGRS/+K1m6k1OYE+nAm6wBWqT2De5hoRtznPXsS46pOt9Bc+6t7NDo+ipGMj60KP6DrswZHQJhFQQNEI2+klZO0fwPPTkaxvfzPj4LhiL6xwjosVh+0tQrBieaDMYkNdWaEzCjhnk+L/5blTg8et1RN49BRU/uapcDiyf2xbiGHYxW83nCvocA7Xrg7ZJHlQKP2jgEA6c+SXZ4WgU582eiU9i0GHvDDh58WRmWfTOw99" \t "https://www.so.com/_blank"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构建“一核一带一区”区域发展格局</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的战略机遇，围绕清远市“融湾崛起排头兵，城乡融合示范区，生态发展新标杆，‘双区’魅力后花园”发展战略定位，落实《广东省教育现代化2035》部署，以建设教育强市、办好人民满意的教育为根本宗旨，以落实立德树人为根本任务，以体制机制改革为动力，以高质量发展为主题，全面贯彻党的教育方针和习近平总书记关于教育的重要论述，坚持教育优先发展，建设高质量教育体系，推动教育更加公平、更高质量、更有特色、更高效益发展，培养造就德智体美劳全面发展的社会主义建设者和接班人。全面提升教育服务经济社会发展和人的全面发展的能力，为清远经济社会高质量发展、为广东在全面建设社会主义现代化国家的新征程中走在全国前列、再创辉煌提供重要的人才和智力支撑。</w:t>
      </w:r>
    </w:p>
    <w:p>
      <w:pPr>
        <w:pStyle w:val="3"/>
        <w:ind w:firstLine="640"/>
      </w:pPr>
      <w:bookmarkStart w:id="76" w:name="_Toc20078"/>
      <w:bookmarkStart w:id="77" w:name="_Toc10286"/>
      <w:bookmarkStart w:id="78" w:name="_Toc11480"/>
      <w:bookmarkStart w:id="79" w:name="_Toc15922"/>
      <w:r>
        <w:t>（二）基本思路</w:t>
      </w:r>
      <w:bookmarkEnd w:id="76"/>
      <w:bookmarkEnd w:id="77"/>
      <w:bookmarkEnd w:id="78"/>
      <w:bookmarkEnd w:id="79"/>
    </w:p>
    <w:p>
      <w:pPr>
        <w:spacing w:line="560" w:lineRule="exact"/>
        <w:ind w:firstLine="640" w:firstLineChars="200"/>
        <w:rPr>
          <w:rFonts w:ascii="Times New Roman" w:hAnsi="Times New Roman" w:eastAsia="仿宋" w:cs="Times New Roman"/>
          <w:color w:val="000000"/>
          <w:sz w:val="32"/>
          <w:szCs w:val="32"/>
        </w:rPr>
      </w:pPr>
      <w:r>
        <w:rPr>
          <w:rFonts w:hint="eastAsia" w:ascii="仿宋_GB2312" w:hAnsi="仿宋_GB2312" w:eastAsia="仿宋_GB2312" w:cs="仿宋_GB2312"/>
          <w:color w:val="000000"/>
          <w:sz w:val="32"/>
          <w:szCs w:val="32"/>
        </w:rPr>
        <w:t>立足新时代教育发展阶段性特征，面向新时代经济社会转型发展需求，以立德树人为根本任务，以建设高质量教育体系为主线，着力整合资源、优化结构、提高质量、突出特色、追求效益，构建完善以教育投入保障体系、教师发展体系、教育科研体系、教育督导评价体系为重点的教育制度政策体系，着力推进基础教育质量提升，增强职业教育发展的适应性</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rPr>
        <w:t>全面激发各级各类教育改革发展主体的能动性和创造性，形成全社会支持和参与教育现代化的强大合力。</w:t>
      </w:r>
    </w:p>
    <w:p>
      <w:pPr>
        <w:spacing w:line="560" w:lineRule="exact"/>
        <w:ind w:firstLine="643" w:firstLineChars="200"/>
        <w:rPr>
          <w:rFonts w:ascii="仿宋_GB2312" w:hAnsi="仿宋_GB2312" w:eastAsia="仿宋_GB2312" w:cs="仿宋_GB2312"/>
          <w:color w:val="000000"/>
          <w:sz w:val="32"/>
          <w:szCs w:val="32"/>
        </w:rPr>
      </w:pPr>
      <w:r>
        <w:rPr>
          <w:rFonts w:ascii="Times New Roman" w:hAnsi="Times New Roman" w:eastAsia="仿宋" w:cs="Times New Roman"/>
          <w:b/>
          <w:bCs/>
          <w:color w:val="000000"/>
          <w:sz w:val="32"/>
          <w:szCs w:val="32"/>
        </w:rPr>
        <w:t>坚持党的全面领导。</w:t>
      </w:r>
      <w:r>
        <w:rPr>
          <w:rFonts w:hint="eastAsia" w:ascii="仿宋_GB2312" w:hAnsi="仿宋_GB2312" w:eastAsia="仿宋_GB2312" w:cs="仿宋_GB2312"/>
          <w:color w:val="000000"/>
          <w:sz w:val="32"/>
          <w:szCs w:val="32"/>
        </w:rPr>
        <w:t>加强政治建设，持续强化教育系统党的领导和党的建设工作。把政治建设摆在首位，进一步完善基层党组织建设，保持政治安全、意识形态安全形势平稳向好。推进专业课程与思政课程同向同行，构建全员全过程全方位育人大格局。</w:t>
      </w:r>
    </w:p>
    <w:p>
      <w:pPr>
        <w:spacing w:line="560" w:lineRule="exact"/>
        <w:ind w:firstLine="643" w:firstLineChars="200"/>
        <w:rPr>
          <w:rFonts w:ascii="Times New Roman" w:hAnsi="Times New Roman" w:eastAsia="仿宋" w:cs="Times New Roman"/>
          <w:color w:val="000000"/>
        </w:rPr>
      </w:pPr>
      <w:r>
        <w:rPr>
          <w:rFonts w:ascii="Times New Roman" w:hAnsi="Times New Roman" w:eastAsia="仿宋" w:cs="Times New Roman"/>
          <w:b/>
          <w:bCs/>
          <w:color w:val="000000"/>
          <w:sz w:val="32"/>
          <w:szCs w:val="32"/>
        </w:rPr>
        <w:t>坚持新的发展理念。</w:t>
      </w:r>
      <w:r>
        <w:rPr>
          <w:rFonts w:hint="eastAsia" w:ascii="仿宋_GB2312" w:hAnsi="仿宋_GB2312" w:eastAsia="仿宋_GB2312" w:cs="仿宋_GB2312"/>
          <w:bCs/>
          <w:color w:val="000000"/>
          <w:sz w:val="32"/>
          <w:szCs w:val="32"/>
        </w:rPr>
        <w:t>牢固树立和深入贯彻新发展理念，通过政府、学校、教师、学生、社会教育评价改革引领，将新发展理念融入教育改革全过程、教育教学各环节，以五育并举为抓手，统筹做好专家型校长、智慧型班主任、研究型教研员、高素质教师、专</w:t>
      </w:r>
      <w:r>
        <w:rPr>
          <w:rFonts w:hint="eastAsia" w:ascii="仿宋_GB2312" w:hAnsi="仿宋_GB2312" w:eastAsia="仿宋_GB2312" w:cs="仿宋_GB2312"/>
          <w:bCs/>
          <w:sz w:val="32"/>
          <w:szCs w:val="32"/>
        </w:rPr>
        <w:t>业化督学“五支”队伍建设</w:t>
      </w:r>
      <w:r>
        <w:rPr>
          <w:rFonts w:hint="eastAsia" w:ascii="仿宋_GB2312" w:hAnsi="仿宋_GB2312" w:eastAsia="仿宋_GB2312" w:cs="仿宋_GB2312"/>
          <w:bCs/>
          <w:color w:val="000000"/>
          <w:sz w:val="32"/>
          <w:szCs w:val="32"/>
        </w:rPr>
        <w:t>，推动教育高质量发展。</w:t>
      </w:r>
    </w:p>
    <w:p>
      <w:pPr>
        <w:spacing w:line="560" w:lineRule="exact"/>
        <w:ind w:firstLine="643" w:firstLineChars="200"/>
        <w:rPr>
          <w:rFonts w:ascii="楷体_GB2312" w:hAnsi="楷体_GB2312" w:eastAsia="楷体_GB2312" w:cs="楷体_GB2312"/>
          <w:color w:val="000000"/>
          <w:sz w:val="32"/>
          <w:szCs w:val="32"/>
        </w:rPr>
      </w:pPr>
      <w:r>
        <w:rPr>
          <w:rFonts w:ascii="Times New Roman" w:hAnsi="Times New Roman" w:eastAsia="仿宋" w:cs="Times New Roman"/>
          <w:b/>
          <w:bCs/>
          <w:color w:val="000000"/>
          <w:sz w:val="32"/>
          <w:szCs w:val="32"/>
        </w:rPr>
        <w:t>坚持教育改革创新。</w:t>
      </w:r>
      <w:r>
        <w:rPr>
          <w:rFonts w:hint="eastAsia" w:ascii="仿宋_GB2312" w:hAnsi="仿宋_GB2312" w:eastAsia="仿宋_GB2312" w:cs="仿宋_GB2312"/>
          <w:color w:val="000000"/>
          <w:sz w:val="32"/>
          <w:szCs w:val="32"/>
        </w:rPr>
        <w:t>牢固树立和深入贯彻新发展理念，围绕各级各类教育发展需要，全面深化教育综合改革；树立多元评价和培养机制对教师、学生和家长的正确导向；围绕教育治理体系与治理能力现代化建设，全面推进依法治教，完善现代教育治理体系。</w:t>
      </w:r>
    </w:p>
    <w:p>
      <w:pPr>
        <w:spacing w:line="560" w:lineRule="exact"/>
        <w:ind w:firstLine="643" w:firstLineChars="200"/>
        <w:rPr>
          <w:rFonts w:ascii="仿宋_GB2312" w:hAnsi="仿宋_GB2312" w:eastAsia="仿宋_GB2312" w:cs="仿宋_GB2312"/>
          <w:bCs/>
          <w:color w:val="000000"/>
          <w:sz w:val="32"/>
          <w:szCs w:val="32"/>
        </w:rPr>
      </w:pPr>
      <w:r>
        <w:rPr>
          <w:rFonts w:ascii="Times New Roman" w:hAnsi="Times New Roman" w:eastAsia="仿宋" w:cs="Times New Roman"/>
          <w:b/>
          <w:bCs/>
          <w:color w:val="000000"/>
          <w:sz w:val="32"/>
          <w:szCs w:val="32"/>
        </w:rPr>
        <w:t>坚持质量与公平导向。</w:t>
      </w:r>
      <w:r>
        <w:rPr>
          <w:rFonts w:hint="eastAsia" w:ascii="仿宋_GB2312" w:hAnsi="仿宋_GB2312" w:eastAsia="仿宋_GB2312" w:cs="仿宋_GB2312"/>
          <w:color w:val="000000"/>
          <w:sz w:val="32"/>
          <w:szCs w:val="32"/>
        </w:rPr>
        <w:t>以教育优质均衡为目标，以人民满意为前提，不断扩大教育优质资源覆盖面，深化教育内涵发展、特色发展与多样化发展，为所有学习者提供优质个性化、可选择的教育服务。全面实施素质教育，努力提升教育教学质量，创建教育强市，促进教育现代化。</w:t>
      </w:r>
    </w:p>
    <w:p>
      <w:pPr>
        <w:pStyle w:val="3"/>
        <w:ind w:firstLine="640"/>
        <w:rPr>
          <w:rFonts w:ascii="Times New Roman" w:hAnsi="Times New Roman" w:eastAsia="华文楷体"/>
          <w:color w:val="000000"/>
        </w:rPr>
      </w:pPr>
      <w:bookmarkStart w:id="80" w:name="_Toc2749"/>
      <w:bookmarkStart w:id="81" w:name="_Toc16541"/>
      <w:bookmarkStart w:id="82" w:name="_Toc15245"/>
      <w:bookmarkStart w:id="83" w:name="_Toc20684"/>
      <w:r>
        <w:t>（三）总体目标</w:t>
      </w:r>
      <w:bookmarkEnd w:id="80"/>
      <w:bookmarkEnd w:id="81"/>
      <w:bookmarkEnd w:id="82"/>
      <w:bookmarkEnd w:id="83"/>
    </w:p>
    <w:p>
      <w:pPr>
        <w:pStyle w:val="4"/>
        <w:ind w:firstLine="640"/>
      </w:pPr>
      <w:bookmarkStart w:id="84" w:name="_Toc10732"/>
      <w:bookmarkStart w:id="85" w:name="_Toc21455"/>
      <w:bookmarkStart w:id="86" w:name="_Toc67"/>
      <w:bookmarkStart w:id="87" w:name="_Toc24702"/>
      <w:r>
        <w:rPr>
          <w:rFonts w:hint="eastAsia"/>
        </w:rPr>
        <w:t>1.“十四五”教育发展总目标、总定位</w:t>
      </w:r>
      <w:bookmarkEnd w:id="84"/>
      <w:bookmarkEnd w:id="85"/>
      <w:bookmarkEnd w:id="86"/>
      <w:bookmarkEnd w:id="87"/>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总目标和总定位是：教育综合实力走在粤东西北前列，建成粤东西北教育现代化标杆城市。 </w:t>
      </w:r>
    </w:p>
    <w:p>
      <w:pPr>
        <w:pStyle w:val="4"/>
        <w:ind w:firstLine="640"/>
      </w:pPr>
      <w:bookmarkStart w:id="88" w:name="_Toc9898"/>
      <w:bookmarkStart w:id="89" w:name="_Toc24915"/>
      <w:bookmarkStart w:id="90" w:name="_Toc27930"/>
      <w:r>
        <w:rPr>
          <w:rFonts w:hint="eastAsia"/>
        </w:rPr>
        <w:t>2.具体目标</w:t>
      </w:r>
      <w:bookmarkEnd w:id="88"/>
      <w:bookmarkEnd w:id="89"/>
      <w:bookmarkEnd w:id="90"/>
    </w:p>
    <w:p>
      <w:pPr>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各层次各类型教育发展目标分别是： </w:t>
      </w:r>
    </w:p>
    <w:p>
      <w:pPr>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学前教育：</w:t>
      </w:r>
      <w:r>
        <w:rPr>
          <w:rFonts w:hint="eastAsia" w:ascii="仿宋_GB2312" w:hAnsi="仿宋_GB2312" w:eastAsia="仿宋_GB2312" w:cs="仿宋_GB2312"/>
          <w:sz w:val="32"/>
          <w:szCs w:val="32"/>
        </w:rPr>
        <w:t>深化学前教育改革规范发展，基本建成覆盖城乡、布局合理的学前教育公共服务体系，全市学前教育三年毛入园率保持在98%以上，公办园和普惠性民办园在园幼儿占比达到80%以上，公办园在园幼儿占比达到50%以上，加强幼儿园质量监管，提升幼儿园保教质量。</w:t>
      </w:r>
    </w:p>
    <w:p>
      <w:pPr>
        <w:widowControl w:val="0"/>
        <w:spacing w:line="560" w:lineRule="exact"/>
        <w:ind w:firstLine="640" w:firstLineChars="200"/>
        <w:jc w:val="left"/>
        <w:rPr>
          <w:rFonts w:ascii="Times New Roman" w:hAnsi="Times New Roman" w:eastAsia="仿宋" w:cs="Times New Roman"/>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义务教育：</w:t>
      </w:r>
      <w:r>
        <w:rPr>
          <w:rFonts w:hint="eastAsia" w:ascii="Times New Roman" w:hAnsi="Times New Roman" w:eastAsia="仿宋" w:cs="Times New Roman"/>
          <w:sz w:val="32"/>
          <w:szCs w:val="32"/>
        </w:rPr>
        <w:t>推进义务教育优质均衡发展，提升农村学校办学条件和水平，缩小城乡差异，实现城乡一体化发展。持续做好义务教育保障，加大控辍保学工作力度，九年义务教育巩固率保持在95%以上。推进义务教育质量评价改革，推进素质教育内涵发展，促进义务教育质量提升</w:t>
      </w:r>
      <w:r>
        <w:rPr>
          <w:rFonts w:ascii="Times New Roman" w:hAnsi="Times New Roman" w:eastAsia="仿宋" w:cs="Times New Roman"/>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普通高中教育：</w:t>
      </w:r>
      <w:r>
        <w:rPr>
          <w:rFonts w:hint="eastAsia" w:ascii="仿宋_GB2312" w:hAnsi="仿宋_GB2312" w:eastAsia="仿宋_GB2312" w:cs="仿宋_GB2312"/>
          <w:sz w:val="32"/>
          <w:szCs w:val="32"/>
        </w:rPr>
        <w:t>推进普通高中</w:t>
      </w:r>
      <w:r>
        <w:rPr>
          <w:rFonts w:hint="eastAsia" w:ascii="Times New Roman" w:hAnsi="Times New Roman" w:eastAsia="仿宋" w:cs="Times New Roman"/>
          <w:sz w:val="32"/>
          <w:szCs w:val="32"/>
        </w:rPr>
        <w:t>学校优质多样</w:t>
      </w:r>
      <w:r>
        <w:rPr>
          <w:rFonts w:ascii="Times New Roman" w:hAnsi="Times New Roman" w:eastAsia="仿宋" w:cs="Times New Roman"/>
          <w:sz w:val="32"/>
          <w:szCs w:val="32"/>
        </w:rPr>
        <w:t>特色</w:t>
      </w:r>
      <w:r>
        <w:rPr>
          <w:rFonts w:hint="eastAsia" w:ascii="Times New Roman" w:hAnsi="Times New Roman" w:eastAsia="仿宋" w:cs="Times New Roman"/>
          <w:sz w:val="32"/>
          <w:szCs w:val="32"/>
        </w:rPr>
        <w:t>化发展</w:t>
      </w:r>
      <w:r>
        <w:rPr>
          <w:rFonts w:hint="eastAsia" w:ascii="仿宋_GB2312" w:hAnsi="仿宋_GB2312" w:eastAsia="仿宋_GB2312" w:cs="仿宋_GB2312"/>
          <w:sz w:val="32"/>
          <w:szCs w:val="32"/>
        </w:rPr>
        <w:t>，实施高中课程和考试改革，实现全市高中阶段教育毛入学率持续稳定，实现高考</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不断提升。</w:t>
      </w:r>
    </w:p>
    <w:p>
      <w:pPr>
        <w:spacing w:line="560" w:lineRule="exact"/>
        <w:ind w:firstLine="643" w:firstLineChars="200"/>
        <w:jc w:val="left"/>
        <w:rPr>
          <w:rFonts w:ascii="Times New Roman" w:hAnsi="Times New Roman" w:eastAsia="仿宋" w:cs="Times New Roman"/>
          <w:sz w:val="32"/>
          <w:szCs w:val="32"/>
        </w:rPr>
      </w:pPr>
      <w:r>
        <w:rPr>
          <w:rFonts w:hint="eastAsia" w:ascii="Times New Roman" w:hAnsi="Times New Roman" w:eastAsia="仿宋" w:cs="Times New Roman"/>
          <w:b/>
          <w:bCs/>
          <w:sz w:val="32"/>
          <w:szCs w:val="32"/>
        </w:rPr>
        <w:t>——特殊教育</w:t>
      </w:r>
      <w:r>
        <w:rPr>
          <w:rFonts w:hint="eastAsia" w:ascii="Times New Roman" w:hAnsi="Times New Roman" w:eastAsia="仿宋" w:cs="Times New Roman"/>
          <w:sz w:val="32"/>
          <w:szCs w:val="32"/>
        </w:rPr>
        <w:t>：进一步健全特殊教育体系，适龄残疾儿童少年义务教育入学率保持在95%以上，加快特殊教育向学前教育和高中阶段延伸。推进特殊教育融合发展，完善随班就读资源配置，提升随班就读和送教上门工作质量。加强指导中心和残疾人教育专家委员会建设，提升特殊教育教科研和指导能力。</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——职业教育：</w:t>
      </w:r>
      <w:r>
        <w:rPr>
          <w:rFonts w:hint="eastAsia" w:ascii="仿宋_GB2312" w:hAnsi="仿宋_GB2312" w:eastAsia="仿宋_GB2312" w:cs="仿宋_GB2312"/>
          <w:sz w:val="32"/>
          <w:szCs w:val="32"/>
        </w:rPr>
        <w:t>增强职业教育的适应性，建设成中高职、应用型本科、</w:t>
      </w:r>
      <w:r>
        <w:rPr>
          <w:rFonts w:hint="eastAsia" w:ascii="仿宋_GB2312" w:hAnsi="仿宋_GB2312" w:eastAsia="仿宋_GB2312" w:cs="仿宋_GB2312"/>
          <w:sz w:val="32"/>
          <w:szCs w:val="32"/>
          <w:highlight w:val="none"/>
        </w:rPr>
        <w:t>硕士衔接畅通</w:t>
      </w:r>
      <w:r>
        <w:rPr>
          <w:rFonts w:hint="eastAsia" w:ascii="仿宋_GB2312" w:hAnsi="仿宋_GB2312" w:eastAsia="仿宋_GB2312" w:cs="仿宋_GB2312"/>
          <w:sz w:val="32"/>
          <w:szCs w:val="32"/>
        </w:rPr>
        <w:t>，广东</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职教城引领的现代职业教育体系，产教融合体制机制改革取得显著成效，</w:t>
      </w:r>
      <w:r>
        <w:rPr>
          <w:rFonts w:hint="eastAsia" w:ascii="仿宋_GB2312" w:hAnsi="仿宋_GB2312" w:eastAsia="仿宋_GB2312" w:cs="仿宋_GB2312"/>
          <w:color w:val="000000"/>
          <w:sz w:val="32"/>
          <w:szCs w:val="32"/>
        </w:rPr>
        <w:t>企业行业等社会力量参与职业教育积极性显著提升，人才培养质量全面提高。</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——高等教育：</w:t>
      </w:r>
      <w:r>
        <w:rPr>
          <w:rFonts w:hint="eastAsia" w:ascii="仿宋_GB2312" w:hAnsi="仿宋_GB2312" w:eastAsia="仿宋_GB2312" w:cs="仿宋_GB2312"/>
          <w:color w:val="000000"/>
          <w:sz w:val="32"/>
          <w:szCs w:val="32"/>
        </w:rPr>
        <w:t>推进高校向高质量应用型本科发展，形成本科教育引领推进教育强市新发展格局，高等教育服务地方经济社会发展能力明显提高。</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——终身教育：</w:t>
      </w:r>
      <w:r>
        <w:rPr>
          <w:rFonts w:hint="eastAsia" w:ascii="仿宋_GB2312" w:hAnsi="仿宋_GB2312" w:eastAsia="仿宋_GB2312" w:cs="仿宋_GB2312"/>
          <w:color w:val="000000"/>
          <w:sz w:val="32"/>
          <w:szCs w:val="32"/>
        </w:rPr>
        <w:t>激活继续教育管理机制，畅通人才成长通道，建成终身教育体系；扩大优质社区教育资源供给，加快发展社区教育和老年教育，市民整体素质明显提高，进一步推动学习型城市建设。</w:t>
      </w:r>
    </w:p>
    <w:p>
      <w:pPr>
        <w:jc w:val="left"/>
        <w:textAlignment w:val="auto"/>
        <w:rPr>
          <w:rFonts w:ascii="Times New Roman" w:hAnsi="Times New Roman" w:eastAsia="仿宋" w:cs="Times New Roman"/>
          <w:b/>
          <w:color w:val="000000"/>
          <w:sz w:val="32"/>
          <w:szCs w:val="32"/>
        </w:rPr>
      </w:pPr>
      <w:r>
        <w:rPr>
          <w:rFonts w:ascii="Times New Roman" w:hAnsi="Times New Roman" w:eastAsia="仿宋" w:cs="Times New Roman"/>
          <w:b/>
          <w:color w:val="000000"/>
          <w:sz w:val="32"/>
          <w:szCs w:val="32"/>
        </w:rPr>
        <w:br w:type="page"/>
      </w:r>
    </w:p>
    <w:p>
      <w:pPr>
        <w:adjustRightInd w:val="0"/>
        <w:spacing w:before="156" w:beforeLines="50" w:line="360" w:lineRule="auto"/>
        <w:jc w:val="center"/>
        <w:rPr>
          <w:rFonts w:ascii="黑体" w:hAnsi="黑体" w:eastAsia="黑体"/>
          <w:bCs/>
          <w:color w:val="000000"/>
          <w:sz w:val="32"/>
          <w:szCs w:val="32"/>
        </w:rPr>
      </w:pPr>
      <w:r>
        <w:rPr>
          <w:rFonts w:hint="eastAsia" w:ascii="黑体" w:hAnsi="黑体" w:eastAsia="黑体"/>
          <w:bCs/>
          <w:color w:val="000000"/>
          <w:sz w:val="32"/>
          <w:szCs w:val="32"/>
        </w:rPr>
        <w:t>“十四五”期间清远教育事业主要预期指标表（一）</w:t>
      </w:r>
    </w:p>
    <w:tbl>
      <w:tblPr>
        <w:tblStyle w:val="23"/>
        <w:tblpPr w:leftFromText="180" w:rightFromText="180" w:vertAnchor="text" w:horzAnchor="page" w:tblpX="1405" w:tblpY="611"/>
        <w:tblOverlap w:val="neve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
        <w:gridCol w:w="5085"/>
        <w:gridCol w:w="163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 w:hRule="atLeast"/>
        </w:trPr>
        <w:tc>
          <w:tcPr>
            <w:tcW w:w="5926" w:type="dxa"/>
            <w:gridSpan w:val="2"/>
            <w:vAlign w:val="center"/>
          </w:tcPr>
          <w:p>
            <w:pPr>
              <w:spacing w:line="440" w:lineRule="exact"/>
              <w:contextualSpacing/>
              <w:jc w:val="center"/>
              <w:rPr>
                <w:rFonts w:eastAsia="黑体"/>
                <w:sz w:val="24"/>
              </w:rPr>
            </w:pPr>
            <w:r>
              <w:rPr>
                <w:rFonts w:hint="eastAsia" w:eastAsia="黑体"/>
                <w:sz w:val="24"/>
              </w:rPr>
              <w:t>指　标</w:t>
            </w:r>
          </w:p>
        </w:tc>
        <w:tc>
          <w:tcPr>
            <w:tcW w:w="1635" w:type="dxa"/>
            <w:vAlign w:val="center"/>
          </w:tcPr>
          <w:p>
            <w:pPr>
              <w:spacing w:line="360" w:lineRule="exact"/>
              <w:contextualSpacing/>
              <w:jc w:val="center"/>
              <w:rPr>
                <w:rFonts w:eastAsia="黑体"/>
                <w:sz w:val="24"/>
              </w:rPr>
            </w:pPr>
            <w:r>
              <w:rPr>
                <w:rFonts w:eastAsia="黑体"/>
                <w:sz w:val="24"/>
              </w:rPr>
              <w:t>20</w:t>
            </w:r>
            <w:r>
              <w:rPr>
                <w:rFonts w:hint="eastAsia" w:eastAsia="黑体"/>
                <w:sz w:val="24"/>
              </w:rPr>
              <w:t>22年</w:t>
            </w:r>
          </w:p>
          <w:p>
            <w:pPr>
              <w:spacing w:line="360" w:lineRule="exact"/>
              <w:contextualSpacing/>
              <w:jc w:val="center"/>
              <w:rPr>
                <w:rFonts w:eastAsia="黑体"/>
                <w:sz w:val="24"/>
              </w:rPr>
            </w:pPr>
            <w:r>
              <w:rPr>
                <w:rFonts w:hint="eastAsia" w:eastAsia="黑体"/>
                <w:sz w:val="24"/>
              </w:rPr>
              <w:t>（目标值）</w:t>
            </w:r>
          </w:p>
        </w:tc>
        <w:tc>
          <w:tcPr>
            <w:tcW w:w="1785" w:type="dxa"/>
            <w:vAlign w:val="center"/>
          </w:tcPr>
          <w:p>
            <w:pPr>
              <w:spacing w:line="360" w:lineRule="exact"/>
              <w:contextualSpacing/>
              <w:jc w:val="center"/>
              <w:rPr>
                <w:rFonts w:eastAsia="黑体"/>
                <w:sz w:val="24"/>
              </w:rPr>
            </w:pPr>
            <w:r>
              <w:rPr>
                <w:rFonts w:hint="eastAsia" w:eastAsia="黑体"/>
                <w:sz w:val="24"/>
              </w:rPr>
              <w:t>2025年</w:t>
            </w:r>
          </w:p>
          <w:p>
            <w:pPr>
              <w:spacing w:line="360" w:lineRule="exact"/>
              <w:contextualSpacing/>
              <w:jc w:val="center"/>
              <w:rPr>
                <w:rFonts w:eastAsia="黑体"/>
                <w:sz w:val="24"/>
              </w:rPr>
            </w:pPr>
            <w:r>
              <w:rPr>
                <w:rFonts w:hint="eastAsia" w:eastAsia="黑体"/>
                <w:sz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41" w:type="dxa"/>
            <w:vMerge w:val="restart"/>
            <w:vAlign w:val="center"/>
          </w:tcPr>
          <w:p>
            <w:pPr>
              <w:spacing w:line="460" w:lineRule="exact"/>
              <w:contextualSpacing/>
              <w:jc w:val="center"/>
              <w:rPr>
                <w:sz w:val="24"/>
              </w:rPr>
            </w:pPr>
            <w:r>
              <w:rPr>
                <w:rFonts w:hint="eastAsia"/>
                <w:sz w:val="24"/>
              </w:rPr>
              <w:t>学前</w:t>
            </w:r>
          </w:p>
          <w:p>
            <w:pPr>
              <w:spacing w:line="460" w:lineRule="exact"/>
              <w:contextualSpacing/>
              <w:jc w:val="center"/>
              <w:rPr>
                <w:sz w:val="24"/>
              </w:rPr>
            </w:pPr>
            <w:r>
              <w:rPr>
                <w:rFonts w:hint="eastAsia"/>
                <w:sz w:val="24"/>
              </w:rPr>
              <w:t>教育</w:t>
            </w: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幼儿园数（所）</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844</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公办幼儿园数（所）</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221</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学前三年毛入学率（%）</w:t>
            </w:r>
          </w:p>
        </w:tc>
        <w:tc>
          <w:tcPr>
            <w:tcW w:w="1635" w:type="dxa"/>
            <w:vAlign w:val="center"/>
          </w:tcPr>
          <w:p>
            <w:pPr>
              <w:adjustRightInd w:val="0"/>
              <w:snapToGrid w:val="0"/>
              <w:spacing w:line="320" w:lineRule="exact"/>
              <w:jc w:val="center"/>
              <w:rPr>
                <w:rFonts w:ascii="宋体" w:hAnsi="宋体" w:cs="宋体"/>
                <w:sz w:val="24"/>
              </w:rPr>
            </w:pPr>
            <w:r>
              <w:rPr>
                <w:rFonts w:hint="eastAsia" w:ascii="宋体" w:hAnsi="宋体" w:cs="宋体"/>
                <w:b/>
                <w:bCs/>
                <w:kern w:val="0"/>
                <w:sz w:val="24"/>
              </w:rPr>
              <w:t>98以上</w:t>
            </w:r>
          </w:p>
        </w:tc>
        <w:tc>
          <w:tcPr>
            <w:tcW w:w="1785" w:type="dxa"/>
            <w:vAlign w:val="center"/>
          </w:tcPr>
          <w:p>
            <w:pPr>
              <w:adjustRightInd w:val="0"/>
              <w:snapToGrid w:val="0"/>
              <w:spacing w:line="320" w:lineRule="exact"/>
              <w:jc w:val="center"/>
              <w:rPr>
                <w:rFonts w:ascii="宋体" w:hAnsi="宋体" w:cs="宋体"/>
                <w:sz w:val="24"/>
              </w:rPr>
            </w:pPr>
            <w:r>
              <w:rPr>
                <w:rFonts w:hint="eastAsia" w:ascii="宋体" w:hAnsi="宋体" w:cs="宋体"/>
                <w:b/>
                <w:bCs/>
                <w:kern w:val="0"/>
                <w:sz w:val="24"/>
              </w:rPr>
              <w:t>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center"/>
          </w:tcPr>
          <w:p>
            <w:pPr>
              <w:adjustRightInd w:val="0"/>
              <w:snapToGrid w:val="0"/>
              <w:spacing w:line="320" w:lineRule="exact"/>
              <w:jc w:val="left"/>
              <w:rPr>
                <w:rFonts w:ascii="宋体" w:hAnsi="宋体" w:cs="宋体"/>
                <w:sz w:val="24"/>
              </w:rPr>
            </w:pPr>
            <w:r>
              <w:rPr>
                <w:rFonts w:hint="eastAsia" w:ascii="宋体" w:hAnsi="宋体" w:cs="宋体"/>
                <w:bCs/>
                <w:kern w:val="0"/>
                <w:sz w:val="24"/>
              </w:rPr>
              <w:t>公办园和普惠性民办幼儿园在园儿童占比（%）</w:t>
            </w:r>
          </w:p>
        </w:tc>
        <w:tc>
          <w:tcPr>
            <w:tcW w:w="1635" w:type="dxa"/>
            <w:vAlign w:val="center"/>
          </w:tcPr>
          <w:p>
            <w:pPr>
              <w:adjustRightInd w:val="0"/>
              <w:snapToGrid w:val="0"/>
              <w:spacing w:line="320" w:lineRule="exact"/>
              <w:jc w:val="center"/>
              <w:rPr>
                <w:rFonts w:ascii="宋体" w:hAnsi="宋体" w:cs="宋体"/>
                <w:sz w:val="24"/>
              </w:rPr>
            </w:pPr>
            <w:r>
              <w:rPr>
                <w:rFonts w:hint="eastAsia" w:ascii="宋体" w:hAnsi="宋体" w:cs="宋体"/>
                <w:bCs/>
                <w:kern w:val="0"/>
                <w:sz w:val="24"/>
              </w:rPr>
              <w:t>80</w:t>
            </w:r>
          </w:p>
        </w:tc>
        <w:tc>
          <w:tcPr>
            <w:tcW w:w="1785" w:type="dxa"/>
            <w:vAlign w:val="center"/>
          </w:tcPr>
          <w:p>
            <w:pPr>
              <w:adjustRightInd w:val="0"/>
              <w:snapToGrid w:val="0"/>
              <w:spacing w:line="320" w:lineRule="exact"/>
              <w:jc w:val="center"/>
              <w:rPr>
                <w:rFonts w:ascii="宋体" w:hAnsi="宋体" w:cs="宋体"/>
                <w:sz w:val="24"/>
              </w:rPr>
            </w:pPr>
            <w:r>
              <w:rPr>
                <w:rFonts w:hint="eastAsia" w:ascii="宋体" w:hAnsi="宋体" w:cs="宋体"/>
                <w:bCs/>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center"/>
          </w:tcPr>
          <w:p>
            <w:pPr>
              <w:adjustRightInd w:val="0"/>
              <w:snapToGrid w:val="0"/>
              <w:spacing w:line="320" w:lineRule="exact"/>
              <w:jc w:val="left"/>
              <w:rPr>
                <w:rFonts w:ascii="宋体" w:hAnsi="宋体" w:cs="宋体"/>
                <w:sz w:val="24"/>
              </w:rPr>
            </w:pPr>
            <w:r>
              <w:rPr>
                <w:rFonts w:hint="eastAsia" w:ascii="宋体" w:hAnsi="宋体" w:cs="宋体"/>
                <w:bCs/>
                <w:kern w:val="0"/>
                <w:sz w:val="24"/>
              </w:rPr>
              <w:t>公办幼儿园在园幼儿占比（%）</w:t>
            </w:r>
          </w:p>
        </w:tc>
        <w:tc>
          <w:tcPr>
            <w:tcW w:w="1635" w:type="dxa"/>
            <w:vAlign w:val="center"/>
          </w:tcPr>
          <w:p>
            <w:pPr>
              <w:adjustRightInd w:val="0"/>
              <w:snapToGrid w:val="0"/>
              <w:spacing w:line="320" w:lineRule="exact"/>
              <w:jc w:val="center"/>
              <w:rPr>
                <w:rFonts w:ascii="宋体" w:hAnsi="宋体" w:cs="宋体"/>
                <w:sz w:val="24"/>
              </w:rPr>
            </w:pPr>
            <w:r>
              <w:rPr>
                <w:rFonts w:hint="eastAsia" w:ascii="宋体" w:hAnsi="宋体" w:cs="宋体"/>
                <w:bCs/>
                <w:kern w:val="0"/>
                <w:sz w:val="24"/>
              </w:rPr>
              <w:t>50</w:t>
            </w:r>
          </w:p>
        </w:tc>
        <w:tc>
          <w:tcPr>
            <w:tcW w:w="1785" w:type="dxa"/>
            <w:vAlign w:val="center"/>
          </w:tcPr>
          <w:p>
            <w:pPr>
              <w:adjustRightInd w:val="0"/>
              <w:snapToGrid w:val="0"/>
              <w:spacing w:line="320" w:lineRule="exact"/>
              <w:jc w:val="center"/>
              <w:rPr>
                <w:rFonts w:ascii="宋体" w:hAnsi="宋体" w:cs="宋体"/>
                <w:sz w:val="24"/>
              </w:rPr>
            </w:pPr>
            <w:r>
              <w:rPr>
                <w:rFonts w:hint="eastAsia" w:ascii="宋体" w:hAnsi="宋体" w:cs="宋体"/>
                <w:bCs/>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41" w:type="dxa"/>
            <w:vMerge w:val="restart"/>
            <w:vAlign w:val="center"/>
          </w:tcPr>
          <w:p>
            <w:pPr>
              <w:spacing w:line="460" w:lineRule="exact"/>
              <w:contextualSpacing/>
              <w:jc w:val="center"/>
              <w:rPr>
                <w:sz w:val="24"/>
              </w:rPr>
            </w:pPr>
            <w:r>
              <w:rPr>
                <w:rFonts w:hint="eastAsia"/>
                <w:sz w:val="24"/>
              </w:rPr>
              <w:t>义务</w:t>
            </w:r>
          </w:p>
          <w:p>
            <w:pPr>
              <w:spacing w:line="460" w:lineRule="exact"/>
              <w:contextualSpacing/>
              <w:jc w:val="center"/>
              <w:rPr>
                <w:sz w:val="24"/>
              </w:rPr>
            </w:pPr>
            <w:r>
              <w:rPr>
                <w:rFonts w:hint="eastAsia"/>
                <w:sz w:val="24"/>
              </w:rPr>
              <w:t>教育</w:t>
            </w: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义务教育学校数（所）</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499</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公办义务教育学校数（所）</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473</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小学适龄儿童入学率（%）</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100</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小学毕业生升学率（%）</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100</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初中毕业生升学率（%）</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98</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vAlign w:val="center"/>
          </w:tcPr>
          <w:p>
            <w:pPr>
              <w:spacing w:line="460" w:lineRule="exact"/>
              <w:contextualSpacing/>
              <w:jc w:val="center"/>
              <w:rPr>
                <w:sz w:val="24"/>
              </w:rPr>
            </w:pPr>
          </w:p>
        </w:tc>
        <w:tc>
          <w:tcPr>
            <w:tcW w:w="5085" w:type="dxa"/>
            <w:vAlign w:val="center"/>
          </w:tcPr>
          <w:p>
            <w:pPr>
              <w:spacing w:line="320" w:lineRule="exact"/>
              <w:jc w:val="left"/>
              <w:rPr>
                <w:rFonts w:ascii="宋体" w:hAnsi="宋体" w:cs="宋体"/>
                <w:sz w:val="24"/>
              </w:rPr>
            </w:pPr>
            <w:r>
              <w:rPr>
                <w:rFonts w:hint="eastAsia" w:ascii="宋体" w:hAnsi="宋体" w:cs="宋体"/>
                <w:sz w:val="24"/>
              </w:rPr>
              <w:t>九年义务教育巩固率（%）</w:t>
            </w:r>
          </w:p>
        </w:tc>
        <w:tc>
          <w:tcPr>
            <w:tcW w:w="1635" w:type="dxa"/>
            <w:vAlign w:val="center"/>
          </w:tcPr>
          <w:p>
            <w:pPr>
              <w:spacing w:line="320" w:lineRule="exact"/>
              <w:jc w:val="center"/>
              <w:rPr>
                <w:rFonts w:ascii="宋体" w:hAnsi="宋体" w:cs="宋体"/>
                <w:sz w:val="24"/>
              </w:rPr>
            </w:pPr>
            <w:r>
              <w:rPr>
                <w:rFonts w:hint="eastAsia" w:ascii="宋体" w:hAnsi="宋体" w:cs="宋体"/>
                <w:sz w:val="24"/>
              </w:rPr>
              <w:t>95</w:t>
            </w:r>
          </w:p>
        </w:tc>
        <w:tc>
          <w:tcPr>
            <w:tcW w:w="1785" w:type="dxa"/>
            <w:vAlign w:val="center"/>
          </w:tcPr>
          <w:p>
            <w:pPr>
              <w:spacing w:line="320" w:lineRule="exact"/>
              <w:jc w:val="center"/>
              <w:rPr>
                <w:rFonts w:ascii="宋体" w:hAnsi="宋体" w:cs="宋体"/>
                <w:sz w:val="24"/>
              </w:rPr>
            </w:pPr>
            <w:r>
              <w:rPr>
                <w:rFonts w:hint="eastAsia" w:ascii="宋体" w:hAnsi="宋体" w:cs="宋体"/>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center"/>
          </w:tcPr>
          <w:p>
            <w:pPr>
              <w:spacing w:line="320" w:lineRule="exact"/>
              <w:jc w:val="left"/>
              <w:rPr>
                <w:rFonts w:ascii="宋体" w:hAnsi="宋体" w:cs="宋体"/>
                <w:sz w:val="24"/>
              </w:rPr>
            </w:pPr>
            <w:r>
              <w:rPr>
                <w:rFonts w:hint="eastAsia" w:ascii="宋体" w:hAnsi="宋体" w:cs="宋体"/>
                <w:sz w:val="24"/>
              </w:rPr>
              <w:t>适龄残疾儿童义务教育入学率（%）</w:t>
            </w:r>
          </w:p>
        </w:tc>
        <w:tc>
          <w:tcPr>
            <w:tcW w:w="1635" w:type="dxa"/>
            <w:vAlign w:val="center"/>
          </w:tcPr>
          <w:p>
            <w:pPr>
              <w:spacing w:line="320" w:lineRule="exact"/>
              <w:jc w:val="center"/>
              <w:rPr>
                <w:rFonts w:ascii="宋体" w:hAnsi="宋体" w:cs="宋体"/>
                <w:sz w:val="24"/>
              </w:rPr>
            </w:pPr>
            <w:r>
              <w:rPr>
                <w:rFonts w:hint="eastAsia" w:ascii="宋体" w:hAnsi="宋体" w:cs="宋体"/>
                <w:sz w:val="24"/>
              </w:rPr>
              <w:t>95</w:t>
            </w:r>
          </w:p>
        </w:tc>
        <w:tc>
          <w:tcPr>
            <w:tcW w:w="1785" w:type="dxa"/>
            <w:vAlign w:val="center"/>
          </w:tcPr>
          <w:p>
            <w:pPr>
              <w:spacing w:line="320" w:lineRule="exact"/>
              <w:jc w:val="center"/>
              <w:rPr>
                <w:rFonts w:ascii="宋体" w:hAnsi="宋体" w:cs="宋体"/>
                <w:sz w:val="24"/>
              </w:rPr>
            </w:pPr>
            <w:r>
              <w:rPr>
                <w:rFonts w:hint="eastAsia" w:ascii="宋体" w:hAnsi="宋体" w:cs="宋体"/>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4" w:hRule="atLeast"/>
        </w:trPr>
        <w:tc>
          <w:tcPr>
            <w:tcW w:w="841" w:type="dxa"/>
            <w:vMerge w:val="restart"/>
            <w:vAlign w:val="center"/>
          </w:tcPr>
          <w:p>
            <w:pPr>
              <w:spacing w:line="460" w:lineRule="exact"/>
              <w:contextualSpacing/>
              <w:jc w:val="center"/>
              <w:rPr>
                <w:sz w:val="24"/>
              </w:rPr>
            </w:pPr>
            <w:r>
              <w:rPr>
                <w:rFonts w:hint="eastAsia"/>
                <w:sz w:val="24"/>
              </w:rPr>
              <w:t>高中</w:t>
            </w:r>
          </w:p>
          <w:p>
            <w:pPr>
              <w:spacing w:line="460" w:lineRule="exact"/>
              <w:contextualSpacing/>
              <w:jc w:val="center"/>
              <w:rPr>
                <w:sz w:val="24"/>
              </w:rPr>
            </w:pPr>
            <w:r>
              <w:rPr>
                <w:rFonts w:hint="eastAsia"/>
                <w:sz w:val="24"/>
              </w:rPr>
              <w:t>阶段</w:t>
            </w:r>
          </w:p>
          <w:p>
            <w:pPr>
              <w:spacing w:line="460" w:lineRule="exact"/>
              <w:contextualSpacing/>
              <w:jc w:val="center"/>
              <w:rPr>
                <w:sz w:val="24"/>
              </w:rPr>
            </w:pPr>
            <w:r>
              <w:rPr>
                <w:rFonts w:hint="eastAsia"/>
                <w:sz w:val="24"/>
              </w:rPr>
              <w:t>教育</w:t>
            </w: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普通高中（含十二年一贯制、完全中学）学校数（所）</w:t>
            </w:r>
          </w:p>
        </w:tc>
        <w:tc>
          <w:tcPr>
            <w:tcW w:w="1635" w:type="dxa"/>
            <w:vAlign w:val="center"/>
          </w:tcPr>
          <w:p>
            <w:pPr>
              <w:spacing w:line="320" w:lineRule="exact"/>
              <w:contextualSpacing/>
              <w:jc w:val="center"/>
              <w:rPr>
                <w:rFonts w:ascii="宋体" w:hAnsi="宋体" w:cs="宋体"/>
                <w:sz w:val="24"/>
              </w:rPr>
            </w:pPr>
            <w:r>
              <w:rPr>
                <w:rFonts w:ascii="宋体" w:hAnsi="宋体" w:cs="宋体"/>
                <w:b/>
                <w:bCs/>
                <w:sz w:val="24"/>
              </w:rPr>
              <w:t>33</w:t>
            </w:r>
          </w:p>
        </w:tc>
        <w:tc>
          <w:tcPr>
            <w:tcW w:w="1785" w:type="dxa"/>
            <w:vAlign w:val="center"/>
          </w:tcPr>
          <w:p>
            <w:pPr>
              <w:spacing w:line="320" w:lineRule="exact"/>
              <w:contextualSpacing/>
              <w:jc w:val="center"/>
              <w:rPr>
                <w:rFonts w:ascii="宋体" w:hAnsi="宋体" w:cs="宋体"/>
                <w:sz w:val="24"/>
              </w:rPr>
            </w:pPr>
            <w:r>
              <w:rPr>
                <w:rFonts w:hint="eastAsia" w:ascii="宋体" w:hAnsi="宋体" w:cs="宋体"/>
                <w:b/>
                <w:bCs/>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中等职业教育（含技工学校）</w:t>
            </w:r>
          </w:p>
          <w:p>
            <w:pPr>
              <w:spacing w:line="320" w:lineRule="exact"/>
              <w:contextualSpacing/>
              <w:jc w:val="center"/>
              <w:rPr>
                <w:rFonts w:ascii="宋体" w:hAnsi="宋体" w:cs="宋体"/>
                <w:sz w:val="24"/>
              </w:rPr>
            </w:pPr>
            <w:r>
              <w:rPr>
                <w:rFonts w:hint="eastAsia" w:ascii="宋体" w:hAnsi="宋体" w:cs="宋体"/>
                <w:sz w:val="24"/>
              </w:rPr>
              <w:t>学校数（所）</w:t>
            </w:r>
          </w:p>
        </w:tc>
        <w:tc>
          <w:tcPr>
            <w:tcW w:w="1635" w:type="dxa"/>
            <w:vAlign w:val="top"/>
          </w:tcPr>
          <w:p>
            <w:pPr>
              <w:spacing w:line="320" w:lineRule="exact"/>
              <w:contextualSpacing/>
              <w:jc w:val="center"/>
              <w:rPr>
                <w:rFonts w:ascii="宋体" w:hAnsi="宋体" w:cs="宋体"/>
                <w:sz w:val="24"/>
              </w:rPr>
            </w:pPr>
          </w:p>
          <w:p>
            <w:pPr>
              <w:jc w:val="center"/>
              <w:rPr>
                <w:rFonts w:ascii="宋体" w:hAnsi="宋体" w:cs="宋体"/>
                <w:sz w:val="24"/>
              </w:rPr>
            </w:pPr>
            <w:r>
              <w:rPr>
                <w:rFonts w:hint="eastAsia" w:ascii="宋体" w:hAnsi="宋体" w:cs="宋体"/>
                <w:sz w:val="24"/>
              </w:rPr>
              <w:t>14</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高中阶段毛入学率（%）</w:t>
            </w:r>
          </w:p>
        </w:tc>
        <w:tc>
          <w:tcPr>
            <w:tcW w:w="1635" w:type="dxa"/>
            <w:vAlign w:val="center"/>
          </w:tcPr>
          <w:p>
            <w:pPr>
              <w:spacing w:line="320" w:lineRule="exact"/>
              <w:jc w:val="center"/>
              <w:rPr>
                <w:rFonts w:ascii="宋体" w:hAnsi="宋体" w:cs="宋体"/>
                <w:sz w:val="24"/>
              </w:rPr>
            </w:pPr>
            <w:r>
              <w:rPr>
                <w:rFonts w:hint="eastAsia" w:ascii="宋体" w:hAnsi="宋体" w:cs="宋体"/>
                <w:sz w:val="24"/>
              </w:rPr>
              <w:t>98</w:t>
            </w:r>
          </w:p>
        </w:tc>
        <w:tc>
          <w:tcPr>
            <w:tcW w:w="1785" w:type="dxa"/>
            <w:vAlign w:val="center"/>
          </w:tcPr>
          <w:p>
            <w:pPr>
              <w:spacing w:line="320" w:lineRule="exact"/>
              <w:jc w:val="center"/>
              <w:rPr>
                <w:rFonts w:ascii="宋体" w:hAnsi="宋体" w:cs="宋体"/>
                <w:sz w:val="24"/>
              </w:rPr>
            </w:pPr>
            <w:r>
              <w:rPr>
                <w:rFonts w:hint="eastAsia" w:ascii="宋体" w:hAnsi="宋体" w:cs="宋体"/>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restart"/>
            <w:vAlign w:val="center"/>
          </w:tcPr>
          <w:p>
            <w:pPr>
              <w:spacing w:line="460" w:lineRule="exact"/>
              <w:contextualSpacing/>
              <w:jc w:val="center"/>
              <w:rPr>
                <w:sz w:val="24"/>
              </w:rPr>
            </w:pPr>
            <w:r>
              <w:rPr>
                <w:rFonts w:hint="eastAsia"/>
                <w:sz w:val="24"/>
              </w:rPr>
              <w:t>高等</w:t>
            </w:r>
          </w:p>
          <w:p>
            <w:pPr>
              <w:spacing w:line="460" w:lineRule="exact"/>
              <w:contextualSpacing/>
              <w:jc w:val="center"/>
              <w:rPr>
                <w:sz w:val="24"/>
              </w:rPr>
            </w:pPr>
            <w:r>
              <w:rPr>
                <w:rFonts w:hint="eastAsia"/>
                <w:sz w:val="24"/>
              </w:rPr>
              <w:t>教育</w:t>
            </w:r>
          </w:p>
        </w:tc>
        <w:tc>
          <w:tcPr>
            <w:tcW w:w="5085" w:type="dxa"/>
            <w:vAlign w:val="center"/>
          </w:tcPr>
          <w:p>
            <w:pPr>
              <w:adjustRightInd w:val="0"/>
              <w:snapToGrid w:val="0"/>
              <w:spacing w:line="320" w:lineRule="exact"/>
              <w:jc w:val="left"/>
              <w:rPr>
                <w:rFonts w:ascii="宋体" w:hAnsi="宋体" w:cs="宋体"/>
                <w:bCs/>
                <w:sz w:val="24"/>
              </w:rPr>
            </w:pPr>
            <w:r>
              <w:rPr>
                <w:rFonts w:hint="eastAsia" w:ascii="宋体" w:hAnsi="宋体" w:cs="宋体"/>
                <w:bCs/>
                <w:kern w:val="0"/>
                <w:sz w:val="24"/>
              </w:rPr>
              <w:t>普通本专科生</w:t>
            </w:r>
          </w:p>
          <w:p>
            <w:pPr>
              <w:adjustRightInd w:val="0"/>
              <w:snapToGrid w:val="0"/>
              <w:spacing w:line="320" w:lineRule="exact"/>
              <w:jc w:val="left"/>
              <w:rPr>
                <w:rFonts w:ascii="宋体" w:hAnsi="宋体" w:cs="宋体"/>
                <w:bCs/>
                <w:kern w:val="0"/>
                <w:sz w:val="24"/>
              </w:rPr>
            </w:pPr>
            <w:r>
              <w:rPr>
                <w:rFonts w:hint="eastAsia" w:ascii="宋体" w:hAnsi="宋体" w:cs="宋体"/>
                <w:bCs/>
                <w:kern w:val="0"/>
                <w:sz w:val="24"/>
              </w:rPr>
              <w:t>其中：本科生（万人）</w:t>
            </w:r>
          </w:p>
          <w:p>
            <w:pPr>
              <w:adjustRightInd w:val="0"/>
              <w:snapToGrid w:val="0"/>
              <w:spacing w:line="320" w:lineRule="exact"/>
              <w:jc w:val="left"/>
              <w:rPr>
                <w:rFonts w:ascii="宋体" w:hAnsi="宋体" w:cs="宋体"/>
                <w:sz w:val="24"/>
              </w:rPr>
            </w:pPr>
            <w:r>
              <w:rPr>
                <w:rFonts w:hint="eastAsia" w:ascii="宋体" w:hAnsi="宋体" w:cs="宋体"/>
                <w:bCs/>
                <w:kern w:val="0"/>
                <w:sz w:val="24"/>
              </w:rPr>
              <w:t>高等职业教育在校生（万人）</w:t>
            </w:r>
          </w:p>
        </w:tc>
        <w:tc>
          <w:tcPr>
            <w:tcW w:w="1635" w:type="dxa"/>
            <w:vAlign w:val="center"/>
          </w:tcPr>
          <w:p>
            <w:pPr>
              <w:adjustRightInd w:val="0"/>
              <w:snapToGrid w:val="0"/>
              <w:spacing w:line="320" w:lineRule="exact"/>
              <w:jc w:val="center"/>
              <w:rPr>
                <w:rFonts w:ascii="宋体" w:hAnsi="宋体" w:cs="宋体"/>
                <w:bCs/>
                <w:kern w:val="0"/>
                <w:sz w:val="24"/>
              </w:rPr>
            </w:pPr>
            <w:r>
              <w:rPr>
                <w:rFonts w:hint="eastAsia" w:ascii="宋体" w:hAnsi="宋体" w:cs="宋体"/>
                <w:bCs/>
                <w:kern w:val="0"/>
                <w:sz w:val="24"/>
              </w:rPr>
              <w:t>1.5</w:t>
            </w:r>
          </w:p>
          <w:p>
            <w:pPr>
              <w:adjustRightInd w:val="0"/>
              <w:snapToGrid w:val="0"/>
              <w:spacing w:line="320" w:lineRule="exact"/>
              <w:jc w:val="center"/>
              <w:rPr>
                <w:rFonts w:ascii="宋体" w:hAnsi="宋体" w:cs="宋体"/>
                <w:sz w:val="24"/>
              </w:rPr>
            </w:pPr>
            <w:r>
              <w:rPr>
                <w:rFonts w:hint="eastAsia" w:ascii="宋体" w:hAnsi="宋体" w:cs="宋体"/>
                <w:bCs/>
                <w:kern w:val="0"/>
                <w:sz w:val="24"/>
              </w:rPr>
              <w:t>12</w:t>
            </w:r>
          </w:p>
        </w:tc>
        <w:tc>
          <w:tcPr>
            <w:tcW w:w="1785" w:type="dxa"/>
            <w:vAlign w:val="center"/>
          </w:tcPr>
          <w:p>
            <w:pPr>
              <w:adjustRightInd w:val="0"/>
              <w:snapToGrid w:val="0"/>
              <w:spacing w:line="320" w:lineRule="exact"/>
              <w:jc w:val="center"/>
              <w:rPr>
                <w:rFonts w:ascii="宋体" w:hAnsi="宋体" w:cs="宋体"/>
                <w:bCs/>
                <w:kern w:val="0"/>
                <w:sz w:val="24"/>
              </w:rPr>
            </w:pPr>
            <w:r>
              <w:rPr>
                <w:rFonts w:hint="eastAsia" w:ascii="宋体" w:hAnsi="宋体" w:cs="宋体"/>
                <w:bCs/>
                <w:kern w:val="0"/>
                <w:sz w:val="24"/>
              </w:rPr>
              <w:t>1.5</w:t>
            </w:r>
          </w:p>
          <w:p>
            <w:pPr>
              <w:adjustRightInd w:val="0"/>
              <w:snapToGrid w:val="0"/>
              <w:spacing w:line="320" w:lineRule="exact"/>
              <w:jc w:val="center"/>
              <w:rPr>
                <w:rFonts w:ascii="宋体" w:hAnsi="宋体" w:cs="宋体"/>
                <w:sz w:val="24"/>
              </w:rPr>
            </w:pPr>
            <w:r>
              <w:rPr>
                <w:rFonts w:hint="eastAsia" w:ascii="宋体" w:hAnsi="宋体" w:cs="宋体"/>
                <w:bCs/>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vAlign w:val="center"/>
          </w:tcPr>
          <w:p>
            <w:pPr>
              <w:spacing w:line="460" w:lineRule="exact"/>
              <w:contextualSpacing/>
              <w:jc w:val="center"/>
              <w:rPr>
                <w:sz w:val="24"/>
              </w:rPr>
            </w:pPr>
          </w:p>
        </w:tc>
        <w:tc>
          <w:tcPr>
            <w:tcW w:w="5085" w:type="dxa"/>
            <w:vAlign w:val="center"/>
          </w:tcPr>
          <w:p>
            <w:pPr>
              <w:adjustRightInd w:val="0"/>
              <w:snapToGrid w:val="0"/>
              <w:spacing w:line="320" w:lineRule="exact"/>
              <w:jc w:val="left"/>
              <w:rPr>
                <w:rFonts w:ascii="宋体" w:hAnsi="宋体" w:cs="宋体"/>
                <w:bCs/>
                <w:kern w:val="0"/>
                <w:sz w:val="24"/>
              </w:rPr>
            </w:pPr>
            <w:r>
              <w:rPr>
                <w:rFonts w:hint="eastAsia" w:ascii="宋体" w:hAnsi="宋体" w:cs="宋体"/>
                <w:bCs/>
                <w:kern w:val="0"/>
                <w:sz w:val="24"/>
              </w:rPr>
              <w:t>毛入学率（%）</w:t>
            </w:r>
          </w:p>
        </w:tc>
        <w:tc>
          <w:tcPr>
            <w:tcW w:w="1635" w:type="dxa"/>
            <w:vAlign w:val="center"/>
          </w:tcPr>
          <w:p>
            <w:pPr>
              <w:adjustRightInd w:val="0"/>
              <w:snapToGrid w:val="0"/>
              <w:spacing w:line="320" w:lineRule="exact"/>
              <w:jc w:val="center"/>
              <w:rPr>
                <w:rFonts w:ascii="宋体" w:hAnsi="宋体" w:cs="宋体"/>
                <w:bCs/>
                <w:kern w:val="0"/>
                <w:sz w:val="24"/>
              </w:rPr>
            </w:pPr>
            <w:r>
              <w:rPr>
                <w:rFonts w:hint="eastAsia" w:ascii="宋体" w:hAnsi="宋体" w:cs="宋体"/>
                <w:bCs/>
                <w:kern w:val="0"/>
                <w:sz w:val="24"/>
              </w:rPr>
              <w:t>54</w:t>
            </w:r>
          </w:p>
        </w:tc>
        <w:tc>
          <w:tcPr>
            <w:tcW w:w="1785" w:type="dxa"/>
            <w:vAlign w:val="center"/>
          </w:tcPr>
          <w:p>
            <w:pPr>
              <w:adjustRightInd w:val="0"/>
              <w:snapToGrid w:val="0"/>
              <w:spacing w:line="320" w:lineRule="exact"/>
              <w:jc w:val="center"/>
              <w:rPr>
                <w:rFonts w:ascii="宋体" w:hAnsi="宋体" w:cs="宋体"/>
                <w:bCs/>
                <w:kern w:val="0"/>
                <w:sz w:val="24"/>
              </w:rPr>
            </w:pPr>
            <w:r>
              <w:rPr>
                <w:rFonts w:hint="eastAsia" w:ascii="宋体" w:hAnsi="宋体" w:cs="宋体"/>
                <w:bCs/>
                <w:kern w:val="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restart"/>
            <w:vAlign w:val="center"/>
          </w:tcPr>
          <w:p>
            <w:pPr>
              <w:spacing w:line="460" w:lineRule="exact"/>
              <w:contextualSpacing/>
              <w:jc w:val="center"/>
              <w:rPr>
                <w:sz w:val="24"/>
              </w:rPr>
            </w:pPr>
            <w:r>
              <w:rPr>
                <w:rFonts w:hint="eastAsia"/>
                <w:sz w:val="24"/>
              </w:rPr>
              <w:t>特殊</w:t>
            </w:r>
          </w:p>
          <w:p>
            <w:pPr>
              <w:spacing w:line="460" w:lineRule="exact"/>
              <w:contextualSpacing/>
              <w:jc w:val="center"/>
              <w:rPr>
                <w:sz w:val="24"/>
              </w:rPr>
            </w:pPr>
            <w:r>
              <w:rPr>
                <w:rFonts w:hint="eastAsia"/>
                <w:sz w:val="24"/>
              </w:rPr>
              <w:t>教育</w:t>
            </w: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特殊教育学校数（所）</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9</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适龄残疾儿童少年入学率（%）</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95</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trPr>
        <w:tc>
          <w:tcPr>
            <w:tcW w:w="841" w:type="dxa"/>
            <w:vMerge w:val="restart"/>
            <w:vAlign w:val="center"/>
          </w:tcPr>
          <w:p>
            <w:pPr>
              <w:spacing w:line="460" w:lineRule="exact"/>
              <w:contextualSpacing/>
              <w:jc w:val="center"/>
              <w:rPr>
                <w:sz w:val="24"/>
              </w:rPr>
            </w:pPr>
            <w:r>
              <w:rPr>
                <w:rFonts w:hint="eastAsia"/>
                <w:sz w:val="24"/>
              </w:rPr>
              <w:t>师资</w:t>
            </w:r>
          </w:p>
          <w:p>
            <w:pPr>
              <w:spacing w:line="460" w:lineRule="exact"/>
              <w:contextualSpacing/>
              <w:jc w:val="center"/>
              <w:rPr>
                <w:sz w:val="24"/>
              </w:rPr>
            </w:pPr>
            <w:r>
              <w:rPr>
                <w:rFonts w:hint="eastAsia"/>
                <w:sz w:val="24"/>
              </w:rPr>
              <w:t>队伍</w:t>
            </w:r>
          </w:p>
          <w:p>
            <w:pPr>
              <w:spacing w:line="460" w:lineRule="exact"/>
              <w:contextualSpacing/>
              <w:jc w:val="center"/>
              <w:rPr>
                <w:sz w:val="24"/>
              </w:rPr>
            </w:pPr>
            <w:r>
              <w:rPr>
                <w:rFonts w:hint="eastAsia"/>
                <w:sz w:val="24"/>
              </w:rPr>
              <w:t>情况</w:t>
            </w: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幼儿园专任教师专科以上学历比例（%）</w:t>
            </w:r>
          </w:p>
        </w:tc>
        <w:tc>
          <w:tcPr>
            <w:tcW w:w="1635" w:type="dxa"/>
            <w:vAlign w:val="center"/>
          </w:tcPr>
          <w:p>
            <w:pPr>
              <w:spacing w:line="320" w:lineRule="exact"/>
              <w:jc w:val="center"/>
              <w:rPr>
                <w:rFonts w:ascii="宋体" w:hAnsi="宋体" w:cs="宋体"/>
                <w:sz w:val="24"/>
              </w:rPr>
            </w:pPr>
            <w:r>
              <w:rPr>
                <w:rFonts w:hint="eastAsia" w:ascii="宋体" w:hAnsi="宋体" w:cs="宋体"/>
                <w:sz w:val="24"/>
              </w:rPr>
              <w:t>90</w:t>
            </w:r>
          </w:p>
        </w:tc>
        <w:tc>
          <w:tcPr>
            <w:tcW w:w="1785" w:type="dxa"/>
            <w:vAlign w:val="center"/>
          </w:tcPr>
          <w:p>
            <w:pPr>
              <w:spacing w:line="320" w:lineRule="exact"/>
              <w:jc w:val="center"/>
              <w:rPr>
                <w:rFonts w:ascii="宋体" w:hAnsi="宋体" w:cs="宋体"/>
                <w:sz w:val="24"/>
              </w:rPr>
            </w:pPr>
            <w:r>
              <w:rPr>
                <w:rFonts w:hint="eastAsia" w:ascii="宋体" w:hAnsi="宋体" w:cs="宋体"/>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center"/>
          </w:tcPr>
          <w:p>
            <w:pPr>
              <w:spacing w:line="320" w:lineRule="exact"/>
              <w:jc w:val="left"/>
              <w:rPr>
                <w:rFonts w:ascii="宋体" w:hAnsi="宋体" w:cs="宋体"/>
                <w:sz w:val="24"/>
              </w:rPr>
            </w:pPr>
            <w:r>
              <w:rPr>
                <w:rFonts w:hint="eastAsia" w:ascii="宋体" w:hAnsi="宋体" w:cs="宋体"/>
                <w:sz w:val="24"/>
              </w:rPr>
              <w:t>小学专任教师本科以上学历比例（%）</w:t>
            </w:r>
          </w:p>
        </w:tc>
        <w:tc>
          <w:tcPr>
            <w:tcW w:w="1635" w:type="dxa"/>
            <w:vAlign w:val="center"/>
          </w:tcPr>
          <w:p>
            <w:pPr>
              <w:spacing w:line="320" w:lineRule="exact"/>
              <w:jc w:val="center"/>
              <w:rPr>
                <w:rFonts w:ascii="宋体" w:hAnsi="宋体" w:cs="宋体"/>
                <w:sz w:val="24"/>
              </w:rPr>
            </w:pPr>
            <w:r>
              <w:rPr>
                <w:rFonts w:hint="eastAsia" w:ascii="宋体" w:hAnsi="宋体" w:cs="宋体"/>
                <w:b/>
                <w:bCs/>
                <w:sz w:val="24"/>
              </w:rPr>
              <w:t>70</w:t>
            </w:r>
          </w:p>
        </w:tc>
        <w:tc>
          <w:tcPr>
            <w:tcW w:w="1785" w:type="dxa"/>
            <w:vAlign w:val="center"/>
          </w:tcPr>
          <w:p>
            <w:pPr>
              <w:spacing w:line="320" w:lineRule="exact"/>
              <w:jc w:val="center"/>
              <w:rPr>
                <w:rFonts w:ascii="宋体" w:hAnsi="宋体" w:cs="宋体"/>
                <w:sz w:val="24"/>
              </w:rPr>
            </w:pPr>
            <w:r>
              <w:rPr>
                <w:rFonts w:hint="eastAsia" w:ascii="宋体" w:hAnsi="宋体" w:cs="宋体"/>
                <w:b/>
                <w:bCs/>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vAlign w:val="center"/>
          </w:tcPr>
          <w:p>
            <w:pPr>
              <w:spacing w:line="460" w:lineRule="exact"/>
              <w:contextualSpacing/>
              <w:jc w:val="center"/>
              <w:rPr>
                <w:sz w:val="24"/>
              </w:rPr>
            </w:pPr>
          </w:p>
        </w:tc>
        <w:tc>
          <w:tcPr>
            <w:tcW w:w="5085" w:type="dxa"/>
            <w:vAlign w:val="center"/>
          </w:tcPr>
          <w:p>
            <w:pPr>
              <w:spacing w:line="320" w:lineRule="exact"/>
              <w:jc w:val="left"/>
              <w:rPr>
                <w:rFonts w:ascii="宋体" w:hAnsi="宋体" w:cs="宋体"/>
                <w:sz w:val="24"/>
              </w:rPr>
            </w:pPr>
            <w:r>
              <w:rPr>
                <w:rFonts w:hint="eastAsia" w:ascii="宋体" w:hAnsi="宋体" w:cs="宋体"/>
                <w:sz w:val="24"/>
              </w:rPr>
              <w:t>初中专任教师本科以上学历比例（%）</w:t>
            </w:r>
          </w:p>
        </w:tc>
        <w:tc>
          <w:tcPr>
            <w:tcW w:w="1635" w:type="dxa"/>
            <w:vAlign w:val="center"/>
          </w:tcPr>
          <w:p>
            <w:pPr>
              <w:spacing w:line="320" w:lineRule="exact"/>
              <w:jc w:val="center"/>
              <w:rPr>
                <w:rFonts w:ascii="宋体" w:hAnsi="宋体" w:cs="宋体"/>
                <w:sz w:val="24"/>
              </w:rPr>
            </w:pPr>
            <w:r>
              <w:rPr>
                <w:rFonts w:hint="eastAsia" w:ascii="宋体" w:hAnsi="宋体" w:cs="宋体"/>
                <w:b/>
                <w:bCs/>
                <w:sz w:val="24"/>
              </w:rPr>
              <w:t>92</w:t>
            </w:r>
          </w:p>
        </w:tc>
        <w:tc>
          <w:tcPr>
            <w:tcW w:w="1785" w:type="dxa"/>
            <w:vAlign w:val="center"/>
          </w:tcPr>
          <w:p>
            <w:pPr>
              <w:spacing w:line="320" w:lineRule="exact"/>
              <w:jc w:val="center"/>
              <w:rPr>
                <w:rFonts w:ascii="宋体" w:hAnsi="宋体" w:cs="宋体"/>
                <w:sz w:val="24"/>
              </w:rPr>
            </w:pPr>
            <w:r>
              <w:rPr>
                <w:rFonts w:hint="eastAsia" w:ascii="宋体" w:hAnsi="宋体" w:cs="宋体"/>
                <w:b/>
                <w:bCs/>
                <w:sz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trPr>
        <w:tc>
          <w:tcPr>
            <w:tcW w:w="841" w:type="dxa"/>
            <w:vMerge w:val="continue"/>
            <w:vAlign w:val="center"/>
          </w:tcPr>
          <w:p>
            <w:pPr>
              <w:spacing w:line="460" w:lineRule="exact"/>
              <w:contextualSpacing/>
              <w:jc w:val="center"/>
              <w:rPr>
                <w:sz w:val="24"/>
              </w:rPr>
            </w:pPr>
          </w:p>
        </w:tc>
        <w:tc>
          <w:tcPr>
            <w:tcW w:w="5085" w:type="dxa"/>
            <w:vAlign w:val="center"/>
          </w:tcPr>
          <w:p>
            <w:pPr>
              <w:spacing w:line="320" w:lineRule="exact"/>
              <w:jc w:val="left"/>
              <w:rPr>
                <w:rFonts w:ascii="宋体" w:hAnsi="宋体" w:cs="宋体"/>
                <w:sz w:val="24"/>
              </w:rPr>
            </w:pPr>
            <w:r>
              <w:rPr>
                <w:rFonts w:hint="eastAsia" w:ascii="宋体" w:hAnsi="宋体" w:cs="宋体"/>
                <w:sz w:val="24"/>
              </w:rPr>
              <w:t>高中专任教师硕士研究生以上学历比例（%）</w:t>
            </w:r>
          </w:p>
        </w:tc>
        <w:tc>
          <w:tcPr>
            <w:tcW w:w="1635" w:type="dxa"/>
            <w:vAlign w:val="center"/>
          </w:tcPr>
          <w:p>
            <w:pPr>
              <w:spacing w:line="320" w:lineRule="exact"/>
              <w:jc w:val="center"/>
              <w:rPr>
                <w:rFonts w:ascii="宋体" w:hAnsi="宋体" w:cs="宋体"/>
                <w:sz w:val="24"/>
              </w:rPr>
            </w:pPr>
            <w:r>
              <w:rPr>
                <w:rFonts w:hint="eastAsia" w:ascii="宋体" w:hAnsi="宋体" w:cs="宋体"/>
                <w:b/>
                <w:bCs/>
                <w:sz w:val="24"/>
              </w:rPr>
              <w:t>12</w:t>
            </w:r>
          </w:p>
        </w:tc>
        <w:tc>
          <w:tcPr>
            <w:tcW w:w="1785" w:type="dxa"/>
            <w:vAlign w:val="center"/>
          </w:tcPr>
          <w:p>
            <w:pPr>
              <w:spacing w:line="320" w:lineRule="exact"/>
              <w:jc w:val="center"/>
              <w:rPr>
                <w:rFonts w:ascii="宋体" w:hAnsi="宋体" w:cs="宋体"/>
                <w:sz w:val="24"/>
              </w:rPr>
            </w:pPr>
            <w:r>
              <w:rPr>
                <w:rFonts w:hint="eastAsia" w:ascii="宋体" w:hAnsi="宋体" w:cs="宋体"/>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rPr>
        <w:tc>
          <w:tcPr>
            <w:tcW w:w="841" w:type="dxa"/>
            <w:vMerge w:val="continue"/>
            <w:vAlign w:val="center"/>
          </w:tcPr>
          <w:p>
            <w:pPr>
              <w:spacing w:line="460" w:lineRule="exact"/>
              <w:contextualSpacing/>
              <w:jc w:val="center"/>
              <w:rPr>
                <w:sz w:val="24"/>
              </w:rPr>
            </w:pPr>
          </w:p>
        </w:tc>
        <w:tc>
          <w:tcPr>
            <w:tcW w:w="5085" w:type="dxa"/>
            <w:vAlign w:val="top"/>
          </w:tcPr>
          <w:p>
            <w:pPr>
              <w:spacing w:line="320" w:lineRule="exact"/>
              <w:contextualSpacing/>
              <w:jc w:val="center"/>
              <w:rPr>
                <w:rFonts w:ascii="宋体" w:hAnsi="宋体" w:cs="宋体"/>
                <w:sz w:val="24"/>
              </w:rPr>
            </w:pPr>
            <w:r>
              <w:rPr>
                <w:rFonts w:hint="eastAsia" w:ascii="宋体" w:hAnsi="宋体" w:cs="宋体"/>
                <w:sz w:val="24"/>
              </w:rPr>
              <w:t>中职学校专任教师本科以上学历比例（%）</w:t>
            </w:r>
          </w:p>
        </w:tc>
        <w:tc>
          <w:tcPr>
            <w:tcW w:w="1635" w:type="dxa"/>
            <w:vAlign w:val="top"/>
          </w:tcPr>
          <w:p>
            <w:pPr>
              <w:spacing w:line="320" w:lineRule="exact"/>
              <w:contextualSpacing/>
              <w:jc w:val="center"/>
              <w:rPr>
                <w:rFonts w:ascii="宋体" w:hAnsi="宋体" w:cs="宋体"/>
                <w:sz w:val="24"/>
              </w:rPr>
            </w:pPr>
            <w:r>
              <w:rPr>
                <w:rFonts w:hint="eastAsia" w:ascii="宋体" w:hAnsi="宋体" w:cs="宋体"/>
                <w:sz w:val="24"/>
              </w:rPr>
              <w:t>93.51</w:t>
            </w:r>
          </w:p>
        </w:tc>
        <w:tc>
          <w:tcPr>
            <w:tcW w:w="1785" w:type="dxa"/>
            <w:vAlign w:val="top"/>
          </w:tcPr>
          <w:p>
            <w:pPr>
              <w:spacing w:line="320" w:lineRule="exact"/>
              <w:contextualSpacing/>
              <w:jc w:val="center"/>
              <w:rPr>
                <w:rFonts w:ascii="宋体" w:hAnsi="宋体" w:cs="宋体"/>
                <w:sz w:val="24"/>
              </w:rPr>
            </w:pPr>
            <w:r>
              <w:rPr>
                <w:rFonts w:hint="eastAsia" w:ascii="宋体" w:hAnsi="宋体" w:cs="宋体"/>
                <w:sz w:val="24"/>
              </w:rPr>
              <w:t>95</w:t>
            </w:r>
          </w:p>
        </w:tc>
      </w:tr>
    </w:tbl>
    <w:p>
      <w:pPr>
        <w:adjustRightInd w:val="0"/>
        <w:spacing w:before="156" w:beforeLines="50" w:line="360" w:lineRule="auto"/>
        <w:rPr>
          <w:rFonts w:ascii="Times New Roman" w:hAnsi="Times New Roman" w:eastAsia="仿宋" w:cs="Times New Roman"/>
          <w:b/>
          <w:sz w:val="32"/>
          <w:szCs w:val="32"/>
        </w:rPr>
      </w:pPr>
    </w:p>
    <w:p>
      <w:pPr>
        <w:adjustRightInd w:val="0"/>
        <w:spacing w:before="156" w:beforeLines="50" w:line="360" w:lineRule="auto"/>
        <w:jc w:val="center"/>
        <w:rPr>
          <w:rFonts w:ascii="黑体" w:hAnsi="黑体" w:eastAsia="黑体"/>
          <w:bCs/>
          <w:sz w:val="32"/>
          <w:szCs w:val="32"/>
        </w:rPr>
      </w:pPr>
      <w:r>
        <w:rPr>
          <w:rFonts w:hint="eastAsia" w:ascii="黑体" w:hAnsi="黑体" w:eastAsia="黑体"/>
          <w:bCs/>
          <w:sz w:val="32"/>
          <w:szCs w:val="32"/>
        </w:rPr>
        <w:t>“十四五”期间清远教育事业主要预期指标表（二）</w:t>
      </w:r>
    </w:p>
    <w:p>
      <w:pPr>
        <w:adjustRightInd w:val="0"/>
        <w:spacing w:before="156" w:beforeLines="50" w:line="360" w:lineRule="auto"/>
        <w:jc w:val="center"/>
        <w:rPr>
          <w:rFonts w:ascii="黑体" w:hAnsi="黑体" w:eastAsia="黑体"/>
          <w:bCs/>
          <w:sz w:val="32"/>
          <w:szCs w:val="32"/>
        </w:rPr>
      </w:pPr>
    </w:p>
    <w:tbl>
      <w:tblPr>
        <w:tblStyle w:val="23"/>
        <w:tblW w:w="8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672"/>
        <w:gridCol w:w="176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exact"/>
          <w:tblHeader/>
        </w:trPr>
        <w:tc>
          <w:tcPr>
            <w:tcW w:w="824" w:type="dxa"/>
            <w:vAlign w:val="center"/>
          </w:tcPr>
          <w:p>
            <w:pPr>
              <w:spacing w:line="360" w:lineRule="exact"/>
              <w:contextualSpacing/>
              <w:jc w:val="center"/>
              <w:rPr>
                <w:rFonts w:eastAsia="黑体"/>
                <w:sz w:val="24"/>
              </w:rPr>
            </w:pPr>
            <w:r>
              <w:rPr>
                <w:rFonts w:hint="eastAsia" w:eastAsia="黑体"/>
                <w:sz w:val="24"/>
              </w:rPr>
              <w:t>序号</w:t>
            </w:r>
          </w:p>
        </w:tc>
        <w:tc>
          <w:tcPr>
            <w:tcW w:w="4672" w:type="dxa"/>
            <w:vAlign w:val="center"/>
          </w:tcPr>
          <w:p>
            <w:pPr>
              <w:spacing w:line="360" w:lineRule="exact"/>
              <w:contextualSpacing/>
              <w:jc w:val="center"/>
              <w:rPr>
                <w:rFonts w:eastAsia="黑体"/>
                <w:sz w:val="24"/>
              </w:rPr>
            </w:pPr>
            <w:r>
              <w:rPr>
                <w:rFonts w:hint="eastAsia" w:eastAsia="黑体"/>
                <w:sz w:val="24"/>
              </w:rPr>
              <w:t>指   标</w:t>
            </w:r>
          </w:p>
        </w:tc>
        <w:tc>
          <w:tcPr>
            <w:tcW w:w="1764" w:type="dxa"/>
            <w:vAlign w:val="center"/>
          </w:tcPr>
          <w:p>
            <w:pPr>
              <w:spacing w:line="360" w:lineRule="exact"/>
              <w:contextualSpacing/>
              <w:jc w:val="center"/>
              <w:rPr>
                <w:rFonts w:eastAsia="黑体"/>
                <w:sz w:val="24"/>
              </w:rPr>
            </w:pPr>
            <w:r>
              <w:rPr>
                <w:rFonts w:hint="eastAsia" w:eastAsia="黑体"/>
                <w:sz w:val="24"/>
              </w:rPr>
              <w:t>2022年（预计完成值）</w:t>
            </w:r>
          </w:p>
        </w:tc>
        <w:tc>
          <w:tcPr>
            <w:tcW w:w="1673" w:type="dxa"/>
            <w:vAlign w:val="center"/>
          </w:tcPr>
          <w:p>
            <w:pPr>
              <w:spacing w:line="360" w:lineRule="exact"/>
              <w:contextualSpacing/>
              <w:jc w:val="center"/>
              <w:rPr>
                <w:rFonts w:eastAsia="黑体"/>
                <w:sz w:val="24"/>
              </w:rPr>
            </w:pPr>
            <w:r>
              <w:rPr>
                <w:rFonts w:hint="eastAsia" w:eastAsia="黑体"/>
                <w:sz w:val="24"/>
              </w:rPr>
              <w:t>2025年（预计完成值）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1</w:t>
            </w:r>
          </w:p>
        </w:tc>
        <w:tc>
          <w:tcPr>
            <w:tcW w:w="4672" w:type="dxa"/>
            <w:vAlign w:val="center"/>
          </w:tcPr>
          <w:p>
            <w:pPr>
              <w:spacing w:line="360" w:lineRule="exact"/>
              <w:jc w:val="center"/>
              <w:rPr>
                <w:rFonts w:ascii="宋体" w:hAnsi="宋体" w:cs="宋体"/>
                <w:sz w:val="24"/>
              </w:rPr>
            </w:pPr>
            <w:r>
              <w:rPr>
                <w:rFonts w:hint="eastAsia" w:ascii="宋体" w:hAnsi="宋体" w:cs="宋体"/>
                <w:sz w:val="24"/>
              </w:rPr>
              <w:t>职业教育“双师型”教师比例（%）</w:t>
            </w:r>
          </w:p>
        </w:tc>
        <w:tc>
          <w:tcPr>
            <w:tcW w:w="1764" w:type="dxa"/>
            <w:vAlign w:val="center"/>
          </w:tcPr>
          <w:p>
            <w:pPr>
              <w:spacing w:line="360" w:lineRule="exact"/>
              <w:jc w:val="center"/>
              <w:rPr>
                <w:rFonts w:ascii="宋体" w:hAnsi="宋体" w:cs="宋体"/>
                <w:sz w:val="24"/>
              </w:rPr>
            </w:pPr>
            <w:r>
              <w:rPr>
                <w:rFonts w:hint="eastAsia" w:ascii="宋体" w:hAnsi="宋体" w:cs="宋体"/>
                <w:sz w:val="24"/>
              </w:rPr>
              <w:t>60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2</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党建工作示范学校（所）</w:t>
            </w:r>
          </w:p>
        </w:tc>
        <w:tc>
          <w:tcPr>
            <w:tcW w:w="1764" w:type="dxa"/>
            <w:vAlign w:val="center"/>
          </w:tcPr>
          <w:p>
            <w:pPr>
              <w:spacing w:line="360" w:lineRule="exact"/>
              <w:jc w:val="center"/>
              <w:rPr>
                <w:rFonts w:ascii="宋体" w:hAnsi="宋体" w:cs="宋体"/>
                <w:sz w:val="24"/>
              </w:rPr>
            </w:pPr>
            <w:r>
              <w:rPr>
                <w:rFonts w:hint="eastAsia" w:ascii="宋体" w:hAnsi="宋体" w:cs="宋体"/>
                <w:sz w:val="24"/>
              </w:rPr>
              <w:t>20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3</w:t>
            </w:r>
          </w:p>
        </w:tc>
        <w:tc>
          <w:tcPr>
            <w:tcW w:w="4672" w:type="dxa"/>
            <w:vAlign w:val="center"/>
          </w:tcPr>
          <w:p>
            <w:pPr>
              <w:spacing w:line="360" w:lineRule="exact"/>
              <w:jc w:val="center"/>
              <w:rPr>
                <w:rFonts w:ascii="宋体" w:hAnsi="宋体" w:cs="宋体"/>
                <w:sz w:val="24"/>
              </w:rPr>
            </w:pPr>
            <w:r>
              <w:rPr>
                <w:rFonts w:hint="eastAsia" w:ascii="宋体" w:hAnsi="宋体" w:cs="宋体"/>
                <w:sz w:val="24"/>
              </w:rPr>
              <w:t>思政工作体系优质学校（所）</w:t>
            </w:r>
          </w:p>
        </w:tc>
        <w:tc>
          <w:tcPr>
            <w:tcW w:w="1764" w:type="dxa"/>
            <w:vAlign w:val="center"/>
          </w:tcPr>
          <w:p>
            <w:pPr>
              <w:spacing w:line="360" w:lineRule="exact"/>
              <w:jc w:val="center"/>
              <w:rPr>
                <w:rFonts w:ascii="宋体" w:hAnsi="宋体" w:cs="宋体"/>
                <w:sz w:val="24"/>
              </w:rPr>
            </w:pPr>
            <w:r>
              <w:rPr>
                <w:rFonts w:hint="eastAsia" w:ascii="宋体" w:hAnsi="宋体" w:cs="宋体"/>
                <w:sz w:val="24"/>
              </w:rPr>
              <w:t>20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4</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各级各类学校宽带网络接入率（%）</w:t>
            </w:r>
          </w:p>
        </w:tc>
        <w:tc>
          <w:tcPr>
            <w:tcW w:w="1764" w:type="dxa"/>
            <w:vAlign w:val="center"/>
          </w:tcPr>
          <w:p>
            <w:pPr>
              <w:spacing w:line="360" w:lineRule="exact"/>
              <w:jc w:val="center"/>
              <w:rPr>
                <w:rFonts w:ascii="宋体" w:hAnsi="宋体" w:cs="宋体"/>
                <w:sz w:val="24"/>
              </w:rPr>
            </w:pPr>
            <w:r>
              <w:rPr>
                <w:rFonts w:hint="eastAsia" w:ascii="宋体" w:hAnsi="宋体" w:cs="宋体"/>
                <w:sz w:val="24"/>
              </w:rPr>
              <w:t>100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5</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多媒体设备普及率（%）</w:t>
            </w:r>
          </w:p>
        </w:tc>
        <w:tc>
          <w:tcPr>
            <w:tcW w:w="1764" w:type="dxa"/>
            <w:vAlign w:val="center"/>
          </w:tcPr>
          <w:p>
            <w:pPr>
              <w:spacing w:line="360" w:lineRule="exact"/>
              <w:jc w:val="center"/>
              <w:rPr>
                <w:rFonts w:ascii="宋体" w:hAnsi="宋体" w:cs="宋体"/>
                <w:sz w:val="24"/>
              </w:rPr>
            </w:pPr>
            <w:r>
              <w:rPr>
                <w:rFonts w:hint="eastAsia" w:ascii="宋体" w:hAnsi="宋体" w:cs="宋体"/>
                <w:sz w:val="24"/>
              </w:rPr>
              <w:t>100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6</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公办、民办中小学教师上岗持证率（%）</w:t>
            </w:r>
          </w:p>
        </w:tc>
        <w:tc>
          <w:tcPr>
            <w:tcW w:w="1764" w:type="dxa"/>
            <w:vAlign w:val="center"/>
          </w:tcPr>
          <w:p>
            <w:pPr>
              <w:spacing w:line="360" w:lineRule="exact"/>
              <w:jc w:val="center"/>
              <w:rPr>
                <w:rFonts w:ascii="宋体" w:hAnsi="宋体" w:cs="宋体"/>
                <w:sz w:val="24"/>
              </w:rPr>
            </w:pPr>
            <w:r>
              <w:rPr>
                <w:rFonts w:hint="eastAsia" w:ascii="宋体" w:hAnsi="宋体" w:cs="宋体"/>
                <w:sz w:val="24"/>
              </w:rPr>
              <w:t>100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7</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市级“三名工作室”（个）</w:t>
            </w:r>
          </w:p>
        </w:tc>
        <w:tc>
          <w:tcPr>
            <w:tcW w:w="1764" w:type="dxa"/>
            <w:vAlign w:val="center"/>
          </w:tcPr>
          <w:p>
            <w:pPr>
              <w:spacing w:line="360" w:lineRule="exact"/>
              <w:jc w:val="center"/>
              <w:rPr>
                <w:rFonts w:ascii="宋体" w:hAnsi="宋体" w:cs="宋体"/>
                <w:sz w:val="24"/>
              </w:rPr>
            </w:pPr>
            <w:r>
              <w:rPr>
                <w:rFonts w:hint="eastAsia" w:ascii="宋体" w:hAnsi="宋体" w:cs="宋体"/>
                <w:sz w:val="24"/>
              </w:rPr>
              <w:t>60</w:t>
            </w:r>
          </w:p>
        </w:tc>
        <w:tc>
          <w:tcPr>
            <w:tcW w:w="1673" w:type="dxa"/>
            <w:vAlign w:val="center"/>
          </w:tcPr>
          <w:p>
            <w:pPr>
              <w:spacing w:line="360" w:lineRule="exact"/>
              <w:jc w:val="center"/>
              <w:rPr>
                <w:rFonts w:ascii="宋体" w:hAnsi="宋体" w:cs="宋体"/>
                <w:b/>
                <w:sz w:val="24"/>
              </w:rPr>
            </w:pPr>
            <w:r>
              <w:rPr>
                <w:rFonts w:hint="eastAsia" w:ascii="宋体" w:hAnsi="宋体" w:cs="宋体"/>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8</w:t>
            </w:r>
          </w:p>
        </w:tc>
        <w:tc>
          <w:tcPr>
            <w:tcW w:w="4672" w:type="dxa"/>
            <w:vAlign w:val="center"/>
          </w:tcPr>
          <w:p>
            <w:pPr>
              <w:spacing w:line="360" w:lineRule="exact"/>
              <w:jc w:val="center"/>
              <w:rPr>
                <w:rFonts w:ascii="宋体" w:hAnsi="宋体" w:cs="宋体"/>
                <w:sz w:val="24"/>
              </w:rPr>
            </w:pPr>
            <w:r>
              <w:rPr>
                <w:rFonts w:hint="eastAsia" w:ascii="宋体" w:hAnsi="宋体" w:cs="宋体"/>
                <w:sz w:val="24"/>
              </w:rPr>
              <w:t>省级及以上“三名工作室”（个）</w:t>
            </w:r>
          </w:p>
        </w:tc>
        <w:tc>
          <w:tcPr>
            <w:tcW w:w="1764" w:type="dxa"/>
            <w:vAlign w:val="center"/>
          </w:tcPr>
          <w:p>
            <w:pPr>
              <w:spacing w:line="360" w:lineRule="exact"/>
              <w:jc w:val="center"/>
              <w:rPr>
                <w:rFonts w:ascii="宋体" w:hAnsi="宋体" w:cs="宋体"/>
                <w:sz w:val="24"/>
              </w:rPr>
            </w:pPr>
            <w:r>
              <w:rPr>
                <w:rFonts w:hint="eastAsia" w:ascii="宋体" w:hAnsi="宋体" w:cs="宋体"/>
                <w:sz w:val="24"/>
              </w:rPr>
              <w:t>8</w:t>
            </w:r>
          </w:p>
        </w:tc>
        <w:tc>
          <w:tcPr>
            <w:tcW w:w="1673" w:type="dxa"/>
            <w:vAlign w:val="center"/>
          </w:tcPr>
          <w:p>
            <w:pPr>
              <w:spacing w:line="360" w:lineRule="exact"/>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9</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建成标准化特殊教育学校（所）</w:t>
            </w:r>
          </w:p>
        </w:tc>
        <w:tc>
          <w:tcPr>
            <w:tcW w:w="1764" w:type="dxa"/>
            <w:vAlign w:val="center"/>
          </w:tcPr>
          <w:p>
            <w:pPr>
              <w:spacing w:line="360" w:lineRule="exact"/>
              <w:jc w:val="center"/>
              <w:rPr>
                <w:rFonts w:ascii="宋体" w:hAnsi="宋体" w:cs="宋体"/>
                <w:b/>
                <w:sz w:val="24"/>
              </w:rPr>
            </w:pPr>
            <w:r>
              <w:rPr>
                <w:rFonts w:hint="eastAsia" w:ascii="宋体" w:hAnsi="宋体" w:cs="宋体"/>
                <w:b/>
                <w:sz w:val="24"/>
              </w:rPr>
              <w:t>8</w:t>
            </w:r>
          </w:p>
        </w:tc>
        <w:tc>
          <w:tcPr>
            <w:tcW w:w="1673" w:type="dxa"/>
            <w:vAlign w:val="center"/>
          </w:tcPr>
          <w:p>
            <w:pPr>
              <w:spacing w:line="360" w:lineRule="exact"/>
              <w:jc w:val="center"/>
              <w:rPr>
                <w:rFonts w:ascii="宋体" w:hAnsi="宋体" w:cs="宋体"/>
                <w:sz w:val="24"/>
              </w:rPr>
            </w:pPr>
            <w:r>
              <w:rPr>
                <w:rFonts w:hint="eastAsia"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10</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市级技能大师工作室（个）</w:t>
            </w:r>
          </w:p>
        </w:tc>
        <w:tc>
          <w:tcPr>
            <w:tcW w:w="1764" w:type="dxa"/>
            <w:vAlign w:val="center"/>
          </w:tcPr>
          <w:p>
            <w:pPr>
              <w:spacing w:line="360" w:lineRule="exact"/>
              <w:jc w:val="center"/>
              <w:rPr>
                <w:rFonts w:ascii="宋体" w:hAnsi="宋体" w:cs="宋体"/>
                <w:sz w:val="24"/>
              </w:rPr>
            </w:pPr>
            <w:r>
              <w:rPr>
                <w:rFonts w:hint="eastAsia" w:ascii="宋体" w:hAnsi="宋体" w:cs="宋体"/>
                <w:sz w:val="24"/>
              </w:rPr>
              <w:t>30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11</w:t>
            </w:r>
          </w:p>
        </w:tc>
        <w:tc>
          <w:tcPr>
            <w:tcW w:w="4672" w:type="dxa"/>
            <w:vAlign w:val="center"/>
          </w:tcPr>
          <w:p>
            <w:pPr>
              <w:spacing w:line="360" w:lineRule="exact"/>
              <w:jc w:val="center"/>
              <w:rPr>
                <w:rFonts w:ascii="宋体" w:hAnsi="宋体" w:cs="宋体"/>
                <w:sz w:val="24"/>
              </w:rPr>
            </w:pPr>
            <w:r>
              <w:rPr>
                <w:rFonts w:hint="eastAsia" w:ascii="宋体" w:hAnsi="宋体" w:cs="宋体"/>
                <w:sz w:val="24"/>
              </w:rPr>
              <w:t>教师专业发展学校（所）</w:t>
            </w:r>
          </w:p>
        </w:tc>
        <w:tc>
          <w:tcPr>
            <w:tcW w:w="1764" w:type="dxa"/>
            <w:vAlign w:val="center"/>
          </w:tcPr>
          <w:p>
            <w:pPr>
              <w:spacing w:line="360" w:lineRule="exact"/>
              <w:jc w:val="center"/>
              <w:rPr>
                <w:rFonts w:ascii="宋体" w:hAnsi="宋体" w:cs="宋体"/>
                <w:sz w:val="24"/>
              </w:rPr>
            </w:pPr>
            <w:r>
              <w:rPr>
                <w:rFonts w:hint="eastAsia" w:ascii="宋体" w:hAnsi="宋体" w:cs="宋体"/>
                <w:sz w:val="24"/>
              </w:rPr>
              <w:t>40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12</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学校文化示范校（所）</w:t>
            </w:r>
          </w:p>
        </w:tc>
        <w:tc>
          <w:tcPr>
            <w:tcW w:w="1764" w:type="dxa"/>
            <w:vAlign w:val="center"/>
          </w:tcPr>
          <w:p>
            <w:pPr>
              <w:spacing w:line="360" w:lineRule="exact"/>
              <w:jc w:val="center"/>
              <w:rPr>
                <w:rFonts w:ascii="宋体" w:hAnsi="宋体" w:cs="宋体"/>
                <w:sz w:val="24"/>
              </w:rPr>
            </w:pPr>
            <w:r>
              <w:rPr>
                <w:rFonts w:hint="eastAsia" w:ascii="宋体" w:hAnsi="宋体" w:cs="宋体"/>
                <w:sz w:val="24"/>
              </w:rPr>
              <w:t>100</w:t>
            </w:r>
          </w:p>
        </w:tc>
        <w:tc>
          <w:tcPr>
            <w:tcW w:w="1673" w:type="dxa"/>
            <w:vAlign w:val="center"/>
          </w:tcPr>
          <w:p>
            <w:pPr>
              <w:spacing w:line="360" w:lineRule="exact"/>
              <w:jc w:val="center"/>
              <w:rPr>
                <w:rFonts w:ascii="宋体" w:hAnsi="宋体" w:cs="宋体"/>
                <w:sz w:val="24"/>
              </w:rPr>
            </w:pPr>
            <w:r>
              <w:rPr>
                <w:rFonts w:hint="eastAsia" w:ascii="宋体" w:hAnsi="宋体" w:cs="宋体"/>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trPr>
        <w:tc>
          <w:tcPr>
            <w:tcW w:w="824" w:type="dxa"/>
            <w:vAlign w:val="center"/>
          </w:tcPr>
          <w:p>
            <w:pPr>
              <w:spacing w:line="360" w:lineRule="exact"/>
              <w:jc w:val="center"/>
              <w:rPr>
                <w:rFonts w:ascii="宋体" w:hAnsi="宋体" w:cs="宋体"/>
                <w:sz w:val="24"/>
              </w:rPr>
            </w:pPr>
            <w:r>
              <w:rPr>
                <w:rFonts w:hint="eastAsia" w:ascii="宋体" w:hAnsi="宋体" w:cs="宋体"/>
                <w:sz w:val="24"/>
              </w:rPr>
              <w:t>13</w:t>
            </w:r>
          </w:p>
        </w:tc>
        <w:tc>
          <w:tcPr>
            <w:tcW w:w="4672" w:type="dxa"/>
            <w:vAlign w:val="center"/>
          </w:tcPr>
          <w:p>
            <w:pPr>
              <w:spacing w:line="360" w:lineRule="exact"/>
              <w:jc w:val="center"/>
              <w:rPr>
                <w:rFonts w:ascii="宋体" w:hAnsi="宋体" w:cs="宋体"/>
                <w:sz w:val="24"/>
              </w:rPr>
            </w:pPr>
            <w:r>
              <w:rPr>
                <w:rFonts w:hint="eastAsia" w:ascii="宋体" w:hAnsi="宋体" w:cs="宋体"/>
                <w:sz w:val="24"/>
              </w:rPr>
              <w:t>建成省级优质特色教育集团（个）</w:t>
            </w:r>
          </w:p>
        </w:tc>
        <w:tc>
          <w:tcPr>
            <w:tcW w:w="1764" w:type="dxa"/>
            <w:vAlign w:val="center"/>
          </w:tcPr>
          <w:p>
            <w:pPr>
              <w:spacing w:line="360" w:lineRule="exact"/>
              <w:jc w:val="center"/>
              <w:rPr>
                <w:rFonts w:ascii="宋体" w:hAnsi="宋体" w:cs="宋体"/>
                <w:sz w:val="24"/>
              </w:rPr>
            </w:pPr>
            <w:r>
              <w:rPr>
                <w:rFonts w:hint="eastAsia" w:ascii="宋体" w:hAnsi="宋体" w:cs="宋体"/>
                <w:sz w:val="24"/>
              </w:rPr>
              <w:t>2</w:t>
            </w:r>
          </w:p>
        </w:tc>
        <w:tc>
          <w:tcPr>
            <w:tcW w:w="1673" w:type="dxa"/>
            <w:vAlign w:val="center"/>
          </w:tcPr>
          <w:p>
            <w:pPr>
              <w:spacing w:line="360" w:lineRule="exact"/>
              <w:jc w:val="center"/>
              <w:rPr>
                <w:rFonts w:ascii="宋体" w:hAnsi="宋体" w:cs="宋体"/>
                <w:sz w:val="24"/>
              </w:rPr>
            </w:pPr>
            <w:r>
              <w:rPr>
                <w:rFonts w:hint="eastAsia" w:ascii="宋体" w:hAnsi="宋体" w:cs="宋体"/>
                <w:sz w:val="24"/>
              </w:rPr>
              <w:t>4</w:t>
            </w:r>
          </w:p>
        </w:tc>
      </w:tr>
    </w:tbl>
    <w:p>
      <w:pPr>
        <w:pStyle w:val="2"/>
        <w:jc w:val="center"/>
        <w:rPr>
          <w:rFonts w:hint="default"/>
        </w:rPr>
      </w:pPr>
      <w:bookmarkStart w:id="91" w:name="_Toc26450"/>
      <w:bookmarkStart w:id="92" w:name="_Toc25334"/>
      <w:bookmarkStart w:id="93" w:name="_Toc27516"/>
      <w:bookmarkStart w:id="94" w:name="_Toc63619521"/>
    </w:p>
    <w:p>
      <w:pPr>
        <w:jc w:val="left"/>
        <w:textAlignment w:val="auto"/>
        <w:rPr>
          <w:rFonts w:ascii="宋体" w:hAnsi="宋体" w:eastAsia="黑体" w:cs="Times New Roman"/>
          <w:b/>
          <w:kern w:val="44"/>
          <w:sz w:val="32"/>
          <w:szCs w:val="48"/>
        </w:rPr>
      </w:pPr>
      <w:r>
        <w:br w:type="page"/>
      </w:r>
    </w:p>
    <w:p>
      <w:pPr>
        <w:pStyle w:val="2"/>
        <w:jc w:val="center"/>
        <w:rPr>
          <w:rFonts w:hint="default"/>
        </w:rPr>
      </w:pPr>
      <w:bookmarkStart w:id="95" w:name="_Toc11460"/>
      <w:r>
        <w:t>三、全面落实立德树人根本任务</w:t>
      </w:r>
      <w:bookmarkEnd w:id="91"/>
      <w:bookmarkEnd w:id="92"/>
      <w:bookmarkEnd w:id="93"/>
      <w:bookmarkEnd w:id="95"/>
      <w:bookmarkStart w:id="96" w:name="_Toc67038432"/>
    </w:p>
    <w:p>
      <w:pPr>
        <w:pStyle w:val="3"/>
        <w:ind w:firstLine="640"/>
        <w:rPr>
          <w:rFonts w:ascii="Times New Roman" w:hAnsi="Times New Roman" w:eastAsia="华文楷体"/>
          <w:color w:val="000000"/>
        </w:rPr>
      </w:pPr>
      <w:bookmarkStart w:id="97" w:name="_Toc16616"/>
      <w:bookmarkStart w:id="98" w:name="_Toc17741"/>
      <w:bookmarkStart w:id="99" w:name="_Toc21541"/>
      <w:bookmarkStart w:id="100" w:name="_Toc29229"/>
      <w:r>
        <w:t>（一）全面加强党</w:t>
      </w:r>
      <w:r>
        <w:rPr>
          <w:rFonts w:hint="eastAsia"/>
        </w:rPr>
        <w:t>对教育工作</w:t>
      </w:r>
      <w:r>
        <w:t>的领导</w:t>
      </w:r>
      <w:bookmarkEnd w:id="96"/>
      <w:bookmarkEnd w:id="97"/>
      <w:bookmarkEnd w:id="98"/>
      <w:bookmarkEnd w:id="99"/>
      <w:bookmarkEnd w:id="100"/>
      <w:bookmarkStart w:id="101" w:name="_Toc63619515"/>
      <w:bookmarkStart w:id="102" w:name="_Toc8383"/>
      <w:bookmarkStart w:id="103" w:name="_Toc13328"/>
    </w:p>
    <w:bookmarkEnd w:id="101"/>
    <w:p>
      <w:pPr>
        <w:spacing w:line="560" w:lineRule="exact"/>
        <w:ind w:firstLine="640" w:firstLineChars="200"/>
        <w:rPr>
          <w:rFonts w:hint="eastAsia" w:ascii="仿宋_GB2312" w:hAnsi="仿宋_GB2312" w:eastAsia="仿宋_GB2312" w:cs="仿宋_GB2312"/>
          <w:color w:val="000000"/>
          <w:sz w:val="32"/>
          <w:szCs w:val="32"/>
        </w:rPr>
      </w:pPr>
      <w:bookmarkStart w:id="104" w:name="_Toc6718"/>
      <w:bookmarkStart w:id="105" w:name="_Toc5940"/>
      <w:bookmarkStart w:id="106" w:name="_Toc2694"/>
      <w:r>
        <w:rPr>
          <w:rStyle w:val="35"/>
          <w:rFonts w:hint="eastAsia" w:ascii="仿宋_GB2312" w:hAnsi="仿宋_GB2312" w:eastAsia="仿宋_GB2312" w:cs="仿宋_GB2312"/>
        </w:rPr>
        <w:t>1.深入学习贯彻习近平新时代中国特色社会主义思想。</w:t>
      </w:r>
      <w:bookmarkEnd w:id="104"/>
      <w:bookmarkEnd w:id="105"/>
      <w:bookmarkEnd w:id="106"/>
      <w:r>
        <w:rPr>
          <w:rFonts w:hint="eastAsia" w:ascii="仿宋_GB2312" w:hAnsi="仿宋_GB2312" w:eastAsia="仿宋_GB2312" w:cs="仿宋_GB2312"/>
          <w:color w:val="000000"/>
          <w:sz w:val="32"/>
          <w:szCs w:val="32"/>
        </w:rPr>
        <w:t>持续推动习近平新时代中国特色社会主义思想进教材、进课堂、进头脑、进网络、进学生家庭。发挥教育科研和人才优势，加强大中小幼学校党建理论和实践研究。</w:t>
      </w:r>
    </w:p>
    <w:p>
      <w:pPr>
        <w:spacing w:line="560" w:lineRule="exact"/>
        <w:ind w:firstLine="640" w:firstLineChars="200"/>
        <w:rPr>
          <w:rFonts w:hint="eastAsia" w:ascii="仿宋_GB2312" w:hAnsi="仿宋_GB2312" w:eastAsia="仿宋_GB2312" w:cs="仿宋_GB2312"/>
          <w:color w:val="000000"/>
          <w:sz w:val="32"/>
          <w:szCs w:val="32"/>
        </w:rPr>
      </w:pPr>
      <w:bookmarkStart w:id="107" w:name="_Toc29100"/>
      <w:bookmarkStart w:id="108" w:name="_Toc24471"/>
      <w:bookmarkStart w:id="109" w:name="_Toc1069"/>
      <w:r>
        <w:rPr>
          <w:rStyle w:val="35"/>
          <w:rFonts w:hint="eastAsia" w:ascii="仿宋_GB2312" w:hAnsi="仿宋_GB2312" w:eastAsia="仿宋_GB2312" w:cs="仿宋_GB2312"/>
        </w:rPr>
        <w:t>2.加强党的政治建设。</w:t>
      </w:r>
      <w:bookmarkEnd w:id="107"/>
      <w:bookmarkEnd w:id="108"/>
      <w:bookmarkEnd w:id="109"/>
      <w:r>
        <w:rPr>
          <w:rFonts w:hint="eastAsia" w:ascii="仿宋_GB2312" w:hAnsi="仿宋_GB2312" w:eastAsia="仿宋_GB2312" w:cs="仿宋_GB2312"/>
          <w:color w:val="000000"/>
          <w:sz w:val="32"/>
          <w:szCs w:val="32"/>
        </w:rPr>
        <w:t>持续推进“两学一做”学习教育常态</w:t>
      </w:r>
      <w:r>
        <w:rPr>
          <w:rFonts w:hint="eastAsia" w:ascii="仿宋_GB2312" w:hAnsi="仿宋_GB2312" w:eastAsia="仿宋_GB2312" w:cs="仿宋_GB2312"/>
          <w:sz w:val="32"/>
          <w:szCs w:val="32"/>
        </w:rPr>
        <w:t>化、制度化，督促指导开好学校各级党组织民主生活会和组织生活会，教育引导大中</w:t>
      </w:r>
      <w:r>
        <w:rPr>
          <w:rFonts w:hint="eastAsia" w:ascii="仿宋_GB2312" w:hAnsi="仿宋_GB2312" w:eastAsia="仿宋_GB2312" w:cs="仿宋_GB2312"/>
          <w:color w:val="000000"/>
          <w:sz w:val="32"/>
          <w:szCs w:val="32"/>
        </w:rPr>
        <w:t>小幼学校各级党组织和广大党员树牢“四个意识”，坚定“四个自信”，做到“两个维护”，不断提高“政治判断力、政治领悟力、政治执行力”。把“不忘初心、牢记使命”作为加强党建工作的永恒课题和全体党员、干部的终身课题，形成长效机制。</w:t>
      </w:r>
    </w:p>
    <w:p>
      <w:pPr>
        <w:spacing w:line="560" w:lineRule="exact"/>
        <w:ind w:firstLine="640" w:firstLineChars="200"/>
        <w:rPr>
          <w:rFonts w:hint="eastAsia" w:ascii="仿宋_GB2312" w:hAnsi="仿宋_GB2312" w:eastAsia="仿宋_GB2312" w:cs="仿宋_GB2312"/>
          <w:color w:val="000000"/>
          <w:sz w:val="32"/>
          <w:szCs w:val="32"/>
        </w:rPr>
      </w:pPr>
      <w:bookmarkStart w:id="110" w:name="_Toc30636"/>
      <w:bookmarkStart w:id="111" w:name="_Toc6608"/>
      <w:bookmarkStart w:id="112" w:name="_Toc19008"/>
      <w:r>
        <w:rPr>
          <w:rStyle w:val="35"/>
          <w:rFonts w:hint="eastAsia" w:ascii="仿宋_GB2312" w:hAnsi="仿宋_GB2312" w:eastAsia="仿宋_GB2312" w:cs="仿宋_GB2312"/>
        </w:rPr>
        <w:t>3.坚持党对教育工作的全面领导。</w:t>
      </w:r>
      <w:bookmarkEnd w:id="110"/>
      <w:bookmarkEnd w:id="111"/>
      <w:bookmarkEnd w:id="112"/>
      <w:r>
        <w:rPr>
          <w:rFonts w:hint="eastAsia" w:ascii="仿宋_GB2312" w:hAnsi="仿宋_GB2312" w:eastAsia="仿宋_GB2312" w:cs="仿宋_GB2312"/>
          <w:color w:val="000000"/>
          <w:sz w:val="32"/>
          <w:szCs w:val="32"/>
        </w:rPr>
        <w:t>落实各级教育行政部门党组织管党治党主体责任，加强大中小幼学校党的领导和党的建设工作。持续推动落实中组部、教育部《高校党建工作重点任务》和高校领导班子成员党建责任清单，制定《中小幼学校党建工作重点任务》和中小幼学校领导班子成员党建责任清单，把党的领导贯穿于教学、科研、管理和人才培养活动的全过程。</w:t>
      </w:r>
    </w:p>
    <w:p>
      <w:pPr>
        <w:pStyle w:val="3"/>
        <w:ind w:firstLine="640"/>
      </w:pPr>
      <w:bookmarkStart w:id="113" w:name="_Toc15817"/>
      <w:bookmarkStart w:id="114" w:name="_Toc67038435"/>
      <w:bookmarkStart w:id="115" w:name="_Toc18521"/>
      <w:bookmarkStart w:id="116" w:name="_Toc12562"/>
      <w:bookmarkStart w:id="117" w:name="_Toc10722"/>
      <w:r>
        <w:t>（二）构建大中小幼一体化思政工作体系</w:t>
      </w:r>
      <w:bookmarkEnd w:id="113"/>
      <w:bookmarkEnd w:id="114"/>
      <w:bookmarkEnd w:id="115"/>
      <w:bookmarkEnd w:id="116"/>
      <w:bookmarkEnd w:id="117"/>
    </w:p>
    <w:p>
      <w:pPr>
        <w:spacing w:line="560" w:lineRule="exact"/>
        <w:ind w:firstLine="640" w:firstLineChars="200"/>
        <w:rPr>
          <w:rFonts w:hint="eastAsia" w:ascii="仿宋_GB2312" w:hAnsi="仿宋_GB2312" w:eastAsia="仿宋_GB2312" w:cs="仿宋_GB2312"/>
          <w:color w:val="000000"/>
          <w:sz w:val="32"/>
          <w:szCs w:val="32"/>
        </w:rPr>
      </w:pPr>
      <w:bookmarkStart w:id="118" w:name="_Toc764"/>
      <w:bookmarkStart w:id="119" w:name="_Toc31053"/>
      <w:bookmarkStart w:id="120" w:name="_Toc67038436"/>
      <w:bookmarkStart w:id="121" w:name="_Toc17783"/>
      <w:bookmarkStart w:id="122" w:name="_Toc2369"/>
      <w:r>
        <w:rPr>
          <w:rStyle w:val="35"/>
          <w:rFonts w:hint="eastAsia" w:ascii="仿宋_GB2312" w:hAnsi="仿宋_GB2312" w:eastAsia="仿宋_GB2312" w:cs="仿宋_GB2312"/>
        </w:rPr>
        <w:t>1.全员全过程全方位立德树人。</w:t>
      </w:r>
      <w:bookmarkEnd w:id="118"/>
      <w:r>
        <w:rPr>
          <w:rFonts w:hint="eastAsia" w:ascii="仿宋_GB2312" w:hAnsi="仿宋_GB2312" w:eastAsia="仿宋_GB2312" w:cs="仿宋_GB2312"/>
          <w:color w:val="000000"/>
          <w:sz w:val="32"/>
          <w:szCs w:val="32"/>
        </w:rPr>
        <w:t>强化学校全体干部教师育人意识，落实育人激励与约束机制，一体化构建以育人为导向的理论武装、学科教学、日常教育、管理服务、安全稳定、队伍建设、督导评估体系。创新网络思想政治教育，依托学校智慧校园打造“互联网+”教育平台，整体推进网络教育阵地、队伍、工作机制、内容供给等建设。突出实践育人，加强资源整合，多途径建设实践教育基地，强化学校小课堂与社会大课堂密切连接。充分发挥校园文化、学生社团育人功能。优化培养、管理、保障等措施，建强班主任、辅导员队伍，完善港澳台侨学生辅导员制度。到2025年，80%以上学校基本形成较为科学合理的思政工作体系，建成50所思政工作体系优质学校。</w:t>
      </w:r>
      <w:bookmarkEnd w:id="119"/>
      <w:bookmarkEnd w:id="120"/>
      <w:bookmarkEnd w:id="121"/>
      <w:bookmarkEnd w:id="122"/>
    </w:p>
    <w:p>
      <w:pPr>
        <w:spacing w:line="560" w:lineRule="exact"/>
        <w:ind w:firstLine="640" w:firstLineChars="200"/>
        <w:rPr>
          <w:rFonts w:hint="eastAsia" w:ascii="仿宋_GB2312" w:hAnsi="仿宋_GB2312" w:eastAsia="仿宋_GB2312" w:cs="仿宋_GB2312"/>
          <w:color w:val="000000"/>
          <w:sz w:val="32"/>
          <w:szCs w:val="32"/>
        </w:rPr>
      </w:pPr>
      <w:bookmarkStart w:id="123" w:name="_Toc9629"/>
      <w:bookmarkStart w:id="124" w:name="_Toc23780"/>
      <w:bookmarkStart w:id="125" w:name="_Toc8633"/>
      <w:bookmarkStart w:id="126" w:name="_Toc67038437"/>
      <w:bookmarkStart w:id="127" w:name="_Toc6296"/>
      <w:r>
        <w:rPr>
          <w:rStyle w:val="35"/>
          <w:rFonts w:hint="eastAsia" w:ascii="仿宋_GB2312" w:hAnsi="仿宋_GB2312" w:eastAsia="仿宋_GB2312" w:cs="仿宋_GB2312"/>
        </w:rPr>
        <w:t>2.完善大中小幼思政课程建设。</w:t>
      </w:r>
      <w:bookmarkEnd w:id="123"/>
      <w:r>
        <w:rPr>
          <w:rFonts w:hint="eastAsia" w:ascii="仿宋_GB2312" w:hAnsi="仿宋_GB2312" w:eastAsia="仿宋_GB2312" w:cs="仿宋_GB2312"/>
          <w:color w:val="000000"/>
          <w:sz w:val="32"/>
          <w:szCs w:val="32"/>
        </w:rPr>
        <w:t>以习近平新时代中国特色社会主义思想为核心内容，建立学段衔接、必修课加选修课的思政课程体系，体现思政课在课程体系中的政治引领、价值导向作用，推进思政课建设思路创优、师资创优、教法创优、机制创优、环境创优。加大思政课程整合力度，建立有地方、学校特色的思政课程资源库；整合设计学校班会和思政实践活动，设计不同学段、不同年级思政实践活动教案。紧扣马克思主义中国化最新成果、坚持和发展中国特色社会主义最新经验，深化精品思政课程建设，做成系列、做出品牌。强化思政课教研与科研工作，推进思政课教育教学改革，不断增强思政课的思想性、理论性和亲和力、针对性。</w:t>
      </w:r>
      <w:bookmarkEnd w:id="124"/>
      <w:bookmarkEnd w:id="125"/>
      <w:bookmarkEnd w:id="126"/>
      <w:bookmarkEnd w:id="127"/>
    </w:p>
    <w:p>
      <w:pPr>
        <w:pStyle w:val="3"/>
        <w:ind w:firstLine="640"/>
      </w:pPr>
      <w:bookmarkStart w:id="128" w:name="_Toc4867"/>
      <w:bookmarkStart w:id="129" w:name="_Toc67038440"/>
      <w:bookmarkStart w:id="130" w:name="_Toc5716"/>
      <w:bookmarkStart w:id="131" w:name="_Toc1814"/>
      <w:bookmarkStart w:id="132" w:name="_Toc7940"/>
      <w:r>
        <w:t>（三）</w:t>
      </w:r>
      <w:bookmarkEnd w:id="102"/>
      <w:bookmarkEnd w:id="103"/>
      <w:r>
        <w:t>促进学生综合素质全面提升</w:t>
      </w:r>
      <w:bookmarkEnd w:id="128"/>
      <w:bookmarkEnd w:id="129"/>
      <w:bookmarkEnd w:id="130"/>
      <w:bookmarkEnd w:id="131"/>
      <w:bookmarkEnd w:id="132"/>
    </w:p>
    <w:p>
      <w:pPr>
        <w:spacing w:line="560" w:lineRule="exact"/>
        <w:ind w:firstLine="640" w:firstLineChars="200"/>
        <w:rPr>
          <w:rFonts w:hint="eastAsia" w:ascii="仿宋_GB2312" w:hAnsi="仿宋_GB2312" w:eastAsia="仿宋_GB2312" w:cs="仿宋_GB2312"/>
          <w:sz w:val="32"/>
          <w:szCs w:val="32"/>
        </w:rPr>
      </w:pPr>
      <w:bookmarkStart w:id="133" w:name="_Toc67038441"/>
      <w:bookmarkStart w:id="134" w:name="_Toc5457"/>
      <w:bookmarkStart w:id="135" w:name="_Toc27933"/>
      <w:bookmarkStart w:id="136" w:name="_Toc8350"/>
      <w:bookmarkStart w:id="137" w:name="_Toc22539"/>
      <w:r>
        <w:rPr>
          <w:rStyle w:val="35"/>
          <w:rFonts w:hint="eastAsia" w:ascii="仿宋_GB2312" w:hAnsi="仿宋_GB2312" w:eastAsia="仿宋_GB2312" w:cs="仿宋_GB2312"/>
        </w:rPr>
        <w:t>1.加强和改进学校体育与卫生健康教育。</w:t>
      </w:r>
      <w:bookmarkEnd w:id="133"/>
      <w:bookmarkEnd w:id="134"/>
      <w:bookmarkStart w:id="138" w:name="_Toc67038442"/>
      <w:r>
        <w:rPr>
          <w:rFonts w:hint="eastAsia" w:ascii="仿宋_GB2312" w:hAnsi="仿宋_GB2312" w:eastAsia="仿宋_GB2312" w:cs="仿宋_GB2312"/>
          <w:sz w:val="32"/>
          <w:szCs w:val="32"/>
        </w:rPr>
        <w:t>牢固树立健康第一的教育理念，落实学校体育课程开设刚性要求，保证中小学生每天一小时校园体育活动，培养掌握1－2项体育运动技能。建立完善学校体育学科、学生体质健康状况考核评价体系，加大学生体质健康监测和信息化管理工作力度，到2025年，按照《国家学生体质健康标准》，学生体质健康优良率达到55%以上。注重教体融合和学校体育文化建设，形成“班班有项目、校校有特色、县县有品牌”体育新格局。积极建设各级各类体育特色学校，努力打造一批在省内有一定的体育特色示范学校。聚焦“教会、勤练、常赛”，持续加大校园足球工作力度，促使校园足球普及和竞技水平同步提升。大力推进民族传统体育运动项目和定向越野等智力运动项目在校园的开展，打造具有鲜明清远特色的学校体育优势项目。构建大中小幼心理健康教育体系。构建教育教学、实践活动、咨询服务、预防干预“四位一体”的心理健康教育工作体系。加强校内外心理健康教育阵地建设，重点建设10个（市级1个，各县区1个）校外辅导中心网络心理教育信息平台，推进线上线下结合心理教育辅导和咨询工作。全面加强卫生健康教育，引导学生树立正确的健康观。推动落实学校与医疗机构、疾控中心建立卫生应急协作机制和学校专职卫生人员职称评审、岗位津贴等评价激励机制。加强学校卫生室、保健室建设，配齐建强学校专职卫生技术人员。加强生命安全和健康教育，力争2022年实现清远市生命健康安全学校全覆盖。</w:t>
      </w:r>
      <w:bookmarkEnd w:id="135"/>
      <w:bookmarkEnd w:id="136"/>
      <w:bookmarkEnd w:id="137"/>
    </w:p>
    <w:p>
      <w:pPr>
        <w:spacing w:line="560" w:lineRule="exact"/>
        <w:ind w:firstLine="640" w:firstLineChars="200"/>
        <w:rPr>
          <w:rFonts w:hint="eastAsia" w:ascii="仿宋_GB2312" w:hAnsi="仿宋_GB2312" w:eastAsia="仿宋_GB2312" w:cs="仿宋_GB2312"/>
          <w:sz w:val="32"/>
          <w:szCs w:val="32"/>
        </w:rPr>
      </w:pPr>
      <w:bookmarkStart w:id="139" w:name="_Toc21539"/>
      <w:bookmarkStart w:id="140" w:name="_Toc31822"/>
      <w:bookmarkStart w:id="141" w:name="_Toc13658"/>
      <w:bookmarkStart w:id="142" w:name="_Toc29836"/>
      <w:r>
        <w:rPr>
          <w:rStyle w:val="35"/>
          <w:rFonts w:hint="eastAsia" w:ascii="仿宋_GB2312" w:hAnsi="仿宋_GB2312" w:eastAsia="仿宋_GB2312" w:cs="仿宋_GB2312"/>
        </w:rPr>
        <w:t>2.加强和改进学校美育</w:t>
      </w:r>
      <w:bookmarkEnd w:id="138"/>
      <w:r>
        <w:rPr>
          <w:rStyle w:val="35"/>
          <w:rFonts w:hint="eastAsia" w:ascii="仿宋_GB2312" w:hAnsi="仿宋_GB2312" w:eastAsia="仿宋_GB2312" w:cs="仿宋_GB2312"/>
        </w:rPr>
        <w:t>工作。</w:t>
      </w:r>
      <w:bookmarkEnd w:id="139"/>
      <w:bookmarkStart w:id="143" w:name="_Toc4538"/>
      <w:bookmarkStart w:id="144" w:name="_Toc67038443"/>
      <w:bookmarkStart w:id="145" w:name="_Toc27971"/>
      <w:r>
        <w:rPr>
          <w:rFonts w:hint="eastAsia" w:ascii="仿宋_GB2312" w:hAnsi="仿宋_GB2312" w:eastAsia="仿宋_GB2312" w:cs="仿宋_GB2312"/>
          <w:sz w:val="32"/>
          <w:szCs w:val="32"/>
        </w:rPr>
        <w:t>落实学校美育课程开设刚性要求，开展丰富多彩的美育活动，帮助学生掌握1至2项艺术技能。以课堂教学为中心，构建课堂教学、课外活动、艺术实践、校园文化“四位一体”美育机制，形成中小学（幼儿园）相互衔接与学校、社会、家庭相互联系的美育体系。积极建设各级各类美育特色学校，努力打造一批在省内有一定影响力的艺术特色示范学校。大力推进乡村学校美育工作，通过开展全科美育教育教学实验项目，破解农村学校艺术专业教师短缺的难题，促进学校艺术教育和文化教育的深度融合，促进农村学校教育教学质量的全面提升。深化美育评价体系改革，将音乐、美术纳入初中学业水平考试学科，并探索以一定分值计入中考成绩总分。</w:t>
      </w:r>
      <w:bookmarkEnd w:id="143"/>
      <w:r>
        <w:rPr>
          <w:rFonts w:hint="eastAsia" w:ascii="仿宋_GB2312" w:hAnsi="仿宋_GB2312" w:eastAsia="仿宋_GB2312" w:cs="仿宋_GB2312"/>
          <w:sz w:val="32"/>
          <w:szCs w:val="32"/>
        </w:rPr>
        <w:t>全面加强学生艺术素质测评工作，将艺术素质评价纳入学生综合素质评价范畴，并作为中考和普通高中学业水平考试过程性评价的依据。到2022年，学校美育取得突破性进展，美育课程全面开齐开足，教育教学改革成效明显，资源配置不断优化，评价体系更加科学，管理机制更加完善，育人成效明显增强，学生审美和人文素养明显提升；到2025年，基本形成具有清远特色的新时代学校美育体系。</w:t>
      </w:r>
      <w:bookmarkEnd w:id="140"/>
      <w:bookmarkEnd w:id="141"/>
      <w:bookmarkEnd w:id="142"/>
    </w:p>
    <w:p>
      <w:pPr>
        <w:spacing w:line="560" w:lineRule="exact"/>
        <w:ind w:firstLine="640" w:firstLineChars="200"/>
        <w:rPr>
          <w:rFonts w:hint="eastAsia" w:ascii="仿宋_GB2312" w:hAnsi="仿宋_GB2312" w:eastAsia="仿宋_GB2312" w:cs="仿宋_GB2312"/>
          <w:color w:val="000000"/>
          <w:sz w:val="32"/>
          <w:szCs w:val="32"/>
        </w:rPr>
      </w:pPr>
      <w:bookmarkStart w:id="146" w:name="_Toc5823"/>
      <w:bookmarkStart w:id="147" w:name="_Toc16377"/>
      <w:bookmarkStart w:id="148" w:name="_Toc5658"/>
      <w:bookmarkStart w:id="149" w:name="_Toc748"/>
      <w:r>
        <w:rPr>
          <w:rStyle w:val="35"/>
          <w:rFonts w:hint="eastAsia" w:ascii="仿宋_GB2312" w:hAnsi="仿宋_GB2312" w:eastAsia="仿宋_GB2312" w:cs="仿宋_GB2312"/>
        </w:rPr>
        <w:t>3.加强新时代劳动教育</w:t>
      </w:r>
      <w:bookmarkEnd w:id="144"/>
      <w:r>
        <w:rPr>
          <w:rStyle w:val="35"/>
          <w:rFonts w:hint="eastAsia" w:ascii="仿宋_GB2312" w:hAnsi="仿宋_GB2312" w:eastAsia="仿宋_GB2312" w:cs="仿宋_GB2312"/>
        </w:rPr>
        <w:t>。</w:t>
      </w:r>
      <w:bookmarkEnd w:id="146"/>
      <w:bookmarkStart w:id="150" w:name="_Toc7089"/>
      <w:r>
        <w:rPr>
          <w:rFonts w:hint="eastAsia" w:ascii="仿宋_GB2312" w:hAnsi="仿宋_GB2312" w:eastAsia="仿宋_GB2312" w:cs="仿宋_GB2312"/>
          <w:color w:val="000000"/>
          <w:sz w:val="32"/>
          <w:szCs w:val="32"/>
        </w:rPr>
        <w:t>构建劳动教育课程体系。针对不同年龄段学生，科学定位德育目标，设立学段衔接的劳动教育必修课程，形成具有综合性、实践性、开放性的劳动教育课程体系。</w:t>
      </w:r>
      <w:bookmarkStart w:id="151" w:name="_Toc18137"/>
      <w:bookmarkEnd w:id="150"/>
      <w:r>
        <w:rPr>
          <w:rFonts w:hint="eastAsia" w:ascii="仿宋_GB2312" w:hAnsi="仿宋_GB2312" w:eastAsia="仿宋_GB2312" w:cs="仿宋_GB2312"/>
          <w:color w:val="000000"/>
          <w:sz w:val="32"/>
          <w:szCs w:val="32"/>
        </w:rPr>
        <w:t>在学科课程教育中有机渗透劳动教育。</w:t>
      </w:r>
      <w:bookmarkStart w:id="152" w:name="_Toc8456"/>
      <w:bookmarkEnd w:id="151"/>
      <w:r>
        <w:rPr>
          <w:rFonts w:hint="eastAsia" w:ascii="仿宋_GB2312" w:hAnsi="仿宋_GB2312" w:eastAsia="仿宋_GB2312" w:cs="仿宋_GB2312"/>
          <w:color w:val="000000"/>
          <w:sz w:val="32"/>
          <w:szCs w:val="32"/>
        </w:rPr>
        <w:t>进一步加强劳动教育基地建设，积极开发博物馆、艺术馆、图书馆、体育馆、科技馆、文化馆、研学旅行营地基地、德育实践基地等校外场地的劳动实践教育价值。</w:t>
      </w:r>
      <w:bookmarkEnd w:id="147"/>
      <w:bookmarkEnd w:id="148"/>
      <w:bookmarkEnd w:id="149"/>
      <w:bookmarkEnd w:id="152"/>
    </w:p>
    <w:p>
      <w:pPr>
        <w:spacing w:line="560" w:lineRule="exact"/>
        <w:ind w:firstLine="640" w:firstLineChars="200"/>
        <w:rPr>
          <w:rFonts w:hint="eastAsia" w:ascii="仿宋_GB2312" w:hAnsi="仿宋_GB2312" w:eastAsia="仿宋_GB2312" w:cs="仿宋_GB2312"/>
          <w:color w:val="000000"/>
          <w:sz w:val="32"/>
          <w:szCs w:val="32"/>
        </w:rPr>
      </w:pPr>
      <w:bookmarkStart w:id="153" w:name="_Toc67038444"/>
      <w:bookmarkStart w:id="154" w:name="_Toc31330"/>
      <w:bookmarkStart w:id="155" w:name="_Toc18482"/>
      <w:bookmarkStart w:id="156" w:name="_Toc3631"/>
      <w:bookmarkStart w:id="157" w:name="_Toc30741"/>
      <w:r>
        <w:rPr>
          <w:rStyle w:val="35"/>
          <w:rFonts w:hint="eastAsia" w:ascii="仿宋_GB2312" w:hAnsi="仿宋_GB2312" w:eastAsia="仿宋_GB2312" w:cs="仿宋_GB2312"/>
        </w:rPr>
        <w:t>4.加强国防教育</w:t>
      </w:r>
      <w:bookmarkEnd w:id="153"/>
      <w:r>
        <w:rPr>
          <w:rStyle w:val="35"/>
          <w:rFonts w:hint="eastAsia" w:ascii="仿宋_GB2312" w:hAnsi="仿宋_GB2312" w:eastAsia="仿宋_GB2312" w:cs="仿宋_GB2312"/>
        </w:rPr>
        <w:t>。</w:t>
      </w:r>
      <w:bookmarkEnd w:id="154"/>
      <w:r>
        <w:rPr>
          <w:rFonts w:hint="eastAsia" w:ascii="仿宋_GB2312" w:hAnsi="仿宋_GB2312" w:eastAsia="仿宋_GB2312" w:cs="仿宋_GB2312"/>
          <w:color w:val="000000"/>
          <w:sz w:val="32"/>
          <w:szCs w:val="32"/>
        </w:rPr>
        <w:t>规范国防教育课程、内容和师资队伍建设。加强高校和高中阶段学校学生军事技能训练。持续开展中小学国防教育示范学校创建活动，推动国防教育特色学校建设，充分发挥军营开放日、军事训练营等平台作用，增强国防教育实效。加强高校军事理论教学，落实《普通高等学校军事课建设标准》。坚持国防教育与大学生征兵工作有机结合，按照“一年两征”改革要求，修订完善大学生参军入伍激励措施，确保高质量完成大学生征兵任务。</w:t>
      </w:r>
      <w:bookmarkEnd w:id="145"/>
      <w:bookmarkEnd w:id="155"/>
      <w:bookmarkEnd w:id="156"/>
      <w:bookmarkEnd w:id="157"/>
    </w:p>
    <w:p>
      <w:pPr>
        <w:spacing w:line="560" w:lineRule="exact"/>
        <w:ind w:firstLine="640" w:firstLineChars="200"/>
        <w:rPr>
          <w:rFonts w:hint="eastAsia" w:ascii="仿宋_GB2312" w:hAnsi="仿宋_GB2312" w:eastAsia="仿宋_GB2312" w:cs="仿宋_GB2312"/>
          <w:color w:val="000000"/>
          <w:sz w:val="32"/>
          <w:szCs w:val="32"/>
        </w:rPr>
      </w:pPr>
      <w:bookmarkStart w:id="158" w:name="_Toc67038445"/>
      <w:bookmarkStart w:id="159" w:name="_Toc4864"/>
      <w:bookmarkStart w:id="160" w:name="_Toc12643"/>
      <w:bookmarkStart w:id="161" w:name="_Toc5102"/>
      <w:bookmarkStart w:id="162" w:name="_Toc267"/>
      <w:r>
        <w:rPr>
          <w:rStyle w:val="35"/>
          <w:rFonts w:hint="eastAsia" w:ascii="仿宋_GB2312" w:hAnsi="仿宋_GB2312" w:eastAsia="仿宋_GB2312" w:cs="仿宋_GB2312"/>
        </w:rPr>
        <w:t>5.加强国家安全和公共安全教育</w:t>
      </w:r>
      <w:bookmarkEnd w:id="158"/>
      <w:r>
        <w:rPr>
          <w:rStyle w:val="35"/>
          <w:rFonts w:hint="eastAsia" w:ascii="仿宋_GB2312" w:hAnsi="仿宋_GB2312" w:eastAsia="仿宋_GB2312" w:cs="仿宋_GB2312"/>
        </w:rPr>
        <w:t>。</w:t>
      </w:r>
      <w:bookmarkEnd w:id="159"/>
      <w:r>
        <w:rPr>
          <w:rFonts w:hint="eastAsia" w:ascii="仿宋_GB2312" w:hAnsi="仿宋_GB2312" w:eastAsia="仿宋_GB2312" w:cs="仿宋_GB2312"/>
          <w:color w:val="000000"/>
          <w:sz w:val="32"/>
          <w:szCs w:val="32"/>
        </w:rPr>
        <w:t>规范国家安全和公共安全教育课程、内容和师资队伍建设。构建国家安全和公共安全教育内容和评价体系。研究和改进国家安全和公共安全教育教学活动，开设国家安全和公共安全教育专门课程。将国家安全和公共安全知识、安全技能教育纳入幼儿园、中小学教师继续教育培训。重点培育和选拔一批国家安全和公共安全教育教学名师，打造一支以专业教师为骨干、专兼结合的国家安全和公共安全教育师资队伍。开展国家安全和公共安全教育基地和示范学校创建活动。</w:t>
      </w:r>
      <w:bookmarkEnd w:id="160"/>
      <w:bookmarkEnd w:id="161"/>
      <w:bookmarkEnd w:id="162"/>
    </w:p>
    <w:p>
      <w:pPr>
        <w:spacing w:line="560" w:lineRule="exact"/>
        <w:ind w:firstLine="640" w:firstLineChars="200"/>
        <w:rPr>
          <w:rFonts w:hint="eastAsia" w:ascii="仿宋_GB2312" w:hAnsi="仿宋_GB2312" w:eastAsia="仿宋_GB2312" w:cs="仿宋_GB2312"/>
          <w:color w:val="000000"/>
          <w:sz w:val="32"/>
          <w:szCs w:val="32"/>
        </w:rPr>
      </w:pPr>
      <w:bookmarkStart w:id="163" w:name="_Toc63619519"/>
      <w:bookmarkStart w:id="164" w:name="_Toc67038446"/>
      <w:bookmarkStart w:id="165" w:name="_Toc27845"/>
      <w:bookmarkStart w:id="166" w:name="_Toc16483"/>
      <w:bookmarkStart w:id="167" w:name="_Toc22043"/>
      <w:bookmarkStart w:id="168" w:name="_Toc31192"/>
      <w:r>
        <w:rPr>
          <w:rStyle w:val="35"/>
          <w:rFonts w:hint="eastAsia" w:ascii="仿宋_GB2312" w:hAnsi="仿宋_GB2312" w:eastAsia="仿宋_GB2312" w:cs="仿宋_GB2312"/>
        </w:rPr>
        <w:t>6.构建大中小幼学校文化体系</w:t>
      </w:r>
      <w:bookmarkEnd w:id="163"/>
      <w:bookmarkEnd w:id="164"/>
      <w:r>
        <w:rPr>
          <w:rStyle w:val="35"/>
          <w:rFonts w:hint="eastAsia" w:ascii="仿宋_GB2312" w:hAnsi="仿宋_GB2312" w:eastAsia="仿宋_GB2312" w:cs="仿宋_GB2312"/>
        </w:rPr>
        <w:t>。</w:t>
      </w:r>
      <w:bookmarkEnd w:id="165"/>
      <w:r>
        <w:rPr>
          <w:rFonts w:hint="eastAsia" w:ascii="仿宋_GB2312" w:hAnsi="仿宋_GB2312" w:eastAsia="仿宋_GB2312" w:cs="仿宋_GB2312"/>
          <w:color w:val="000000"/>
          <w:sz w:val="32"/>
          <w:szCs w:val="32"/>
        </w:rPr>
        <w:t>深化“文化兴校、文化育人”举措，在“十三五”学校文化建设成果基础上，形成环境文化、精神文化、行为文化、制度文化“四维一体”的学校文化体系建设长效机制。到2025年底，全市80%以上的学校形成坚持社会主义核心价值观引领、具有清远文化特色和本校办学特色的学校文化体系，建成至少150所学校文化示范校。</w:t>
      </w:r>
      <w:bookmarkEnd w:id="166"/>
      <w:bookmarkEnd w:id="167"/>
      <w:bookmarkEnd w:id="168"/>
    </w:p>
    <w:p>
      <w:pPr>
        <w:spacing w:line="560" w:lineRule="exact"/>
        <w:ind w:firstLine="640" w:firstLineChars="200"/>
        <w:rPr>
          <w:rFonts w:ascii="仿宋_GB2312" w:hAnsi="仿宋_GB2312" w:eastAsia="仿宋_GB2312" w:cs="仿宋_GB2312"/>
          <w:color w:val="000000"/>
          <w:sz w:val="32"/>
          <w:szCs w:val="32"/>
        </w:rPr>
      </w:pPr>
      <w:bookmarkStart w:id="169" w:name="_Toc67038447"/>
      <w:bookmarkStart w:id="170" w:name="_Toc27371"/>
      <w:bookmarkStart w:id="171" w:name="_Toc22895"/>
      <w:bookmarkStart w:id="172" w:name="_Toc27145"/>
      <w:r>
        <w:rPr>
          <w:rStyle w:val="35"/>
          <w:rFonts w:hint="eastAsia" w:ascii="仿宋_GB2312" w:hAnsi="仿宋_GB2312" w:eastAsia="仿宋_GB2312" w:cs="仿宋_GB2312"/>
        </w:rPr>
        <w:t>7.创新德智体美劳过程性评价机制</w:t>
      </w:r>
      <w:bookmarkEnd w:id="169"/>
      <w:r>
        <w:rPr>
          <w:rStyle w:val="35"/>
          <w:rFonts w:hint="eastAsia" w:ascii="仿宋_GB2312" w:hAnsi="仿宋_GB2312" w:eastAsia="仿宋_GB2312" w:cs="仿宋_GB2312"/>
        </w:rPr>
        <w:t>。</w:t>
      </w:r>
      <w:bookmarkEnd w:id="170"/>
      <w:bookmarkEnd w:id="171"/>
      <w:bookmarkEnd w:id="172"/>
      <w:r>
        <w:rPr>
          <w:rFonts w:hint="eastAsia" w:ascii="仿宋_GB2312" w:hAnsi="仿宋_GB2312" w:eastAsia="仿宋_GB2312" w:cs="仿宋_GB2312"/>
          <w:color w:val="000000"/>
          <w:sz w:val="32"/>
          <w:szCs w:val="32"/>
        </w:rPr>
        <w:t>全面推进各学段学生综合素质评价。依托省学生综合素质评价信息管理平台，构建市级基础教育学生综合素质评价系统，调整形成本市学生综合素质评价量化标准。加强督导工作，将各级教育行政部门和学校开展综合素质评价工作纳入教育督导的重要内容，开展定期专项督导和日常检查指导，进一步强化道德评价、体育评价、美育评价、劳动教育评价。</w:t>
      </w:r>
    </w:p>
    <w:p>
      <w:pPr>
        <w:pStyle w:val="3"/>
        <w:ind w:firstLine="640"/>
      </w:pPr>
      <w:bookmarkStart w:id="173" w:name="_Toc67038448"/>
      <w:bookmarkStart w:id="174" w:name="_Toc26981"/>
      <w:bookmarkStart w:id="175" w:name="_Toc22979"/>
      <w:bookmarkStart w:id="176" w:name="_Toc3483"/>
      <w:bookmarkStart w:id="177" w:name="_Toc12849"/>
      <w:r>
        <w:t>（四）健全家庭学校社会协同育人体系</w:t>
      </w:r>
      <w:bookmarkEnd w:id="173"/>
      <w:bookmarkEnd w:id="174"/>
      <w:bookmarkEnd w:id="175"/>
      <w:bookmarkEnd w:id="176"/>
      <w:bookmarkEnd w:id="177"/>
    </w:p>
    <w:p>
      <w:pPr>
        <w:spacing w:line="560" w:lineRule="exact"/>
        <w:ind w:firstLine="640" w:firstLineChars="200"/>
        <w:rPr>
          <w:rFonts w:ascii="仿宋_GB2312" w:hAnsi="仿宋_GB2312" w:eastAsia="仿宋_GB2312" w:cs="仿宋_GB2312"/>
          <w:color w:val="000000"/>
          <w:sz w:val="32"/>
          <w:szCs w:val="32"/>
        </w:rPr>
      </w:pPr>
      <w:bookmarkStart w:id="178" w:name="_Toc2859"/>
      <w:bookmarkStart w:id="179" w:name="_Toc8913"/>
      <w:bookmarkStart w:id="180" w:name="_Toc9076"/>
      <w:r>
        <w:rPr>
          <w:rFonts w:hint="eastAsia" w:ascii="仿宋_GB2312" w:hAnsi="仿宋_GB2312" w:eastAsia="仿宋_GB2312" w:cs="仿宋_GB2312"/>
          <w:bCs/>
          <w:color w:val="000000"/>
          <w:sz w:val="32"/>
          <w:szCs w:val="32"/>
        </w:rPr>
        <w:t>抓好中小学生作业、睡眠、手机、读物、体质“五个管理”。高度重视评价体系建设，通过制度化、正规化、科学化管理，引导和促进学校、家庭、社会三方协作向正确的方向发展。</w:t>
      </w:r>
      <w:bookmarkStart w:id="181" w:name="_Toc67038449"/>
      <w:r>
        <w:rPr>
          <w:rFonts w:hint="eastAsia" w:ascii="仿宋_GB2312" w:hAnsi="仿宋_GB2312" w:eastAsia="仿宋_GB2312" w:cs="仿宋_GB2312"/>
          <w:b/>
          <w:bCs/>
          <w:color w:val="000000"/>
          <w:sz w:val="32"/>
          <w:szCs w:val="32"/>
        </w:rPr>
        <w:t>构建覆盖城乡的家庭教育指导服务体系。</w:t>
      </w:r>
      <w:r>
        <w:rPr>
          <w:rFonts w:hint="eastAsia" w:ascii="仿宋_GB2312" w:hAnsi="仿宋_GB2312" w:eastAsia="仿宋_GB2312" w:cs="仿宋_GB2312"/>
          <w:color w:val="000000"/>
          <w:sz w:val="32"/>
          <w:szCs w:val="32"/>
        </w:rPr>
        <w:t>建立家庭、学校、教育行政部门、妇联、共青团、少工委、社会协同育人工作机制。发挥学校主导作用，建立健全幼儿园、中小学家长学校，密切家校联系，强化家长教育，向家长普及正确教育理念和科学教育方法，引导父母做好学生的第一任老师，培育好家风，传承好家训，促进青少年人格养成和心理健康成长。</w:t>
      </w:r>
      <w:bookmarkEnd w:id="181"/>
      <w:bookmarkStart w:id="182" w:name="_Toc67038450"/>
      <w:r>
        <w:rPr>
          <w:rFonts w:hint="eastAsia" w:ascii="仿宋_GB2312" w:hAnsi="仿宋_GB2312" w:eastAsia="仿宋_GB2312" w:cs="仿宋_GB2312"/>
          <w:b/>
          <w:bCs/>
          <w:color w:val="000000"/>
          <w:sz w:val="32"/>
          <w:szCs w:val="32"/>
        </w:rPr>
        <w:t>构建家校共育课程体系。</w:t>
      </w:r>
      <w:r>
        <w:rPr>
          <w:rFonts w:hint="eastAsia" w:ascii="仿宋_GB2312" w:hAnsi="仿宋_GB2312" w:eastAsia="仿宋_GB2312" w:cs="仿宋_GB2312"/>
          <w:color w:val="000000"/>
          <w:sz w:val="32"/>
          <w:szCs w:val="32"/>
        </w:rPr>
        <w:t>系统规划和开发家庭教育学习网络平台，建设家校共育课程的网络课程资源库，面向家长开放，满足家长家庭教育学习需求。建立家长终身学习的激励机制，帮助家长养成终身学习理念，传播家庭教育先进理念和科学知识，同时为促进亲子沟通、和谐家庭建设提供优质的网络教育环境。</w:t>
      </w:r>
      <w:bookmarkEnd w:id="182"/>
      <w:bookmarkStart w:id="183" w:name="_Toc67038451"/>
      <w:r>
        <w:rPr>
          <w:rFonts w:hint="eastAsia" w:ascii="仿宋_GB2312" w:hAnsi="仿宋_GB2312" w:eastAsia="仿宋_GB2312" w:cs="仿宋_GB2312"/>
          <w:b/>
          <w:bCs/>
          <w:color w:val="000000"/>
          <w:sz w:val="32"/>
          <w:szCs w:val="32"/>
        </w:rPr>
        <w:t>建立全社会协同育人的体制机制。</w:t>
      </w:r>
      <w:r>
        <w:rPr>
          <w:rFonts w:hint="eastAsia" w:ascii="仿宋_GB2312" w:hAnsi="仿宋_GB2312" w:eastAsia="仿宋_GB2312" w:cs="仿宋_GB2312"/>
          <w:color w:val="000000"/>
          <w:sz w:val="32"/>
          <w:szCs w:val="32"/>
        </w:rPr>
        <w:t>全面推进公共文化设施建设与开放，充分利用少年宫、图书馆、科学馆、博物馆、美术馆、文化馆、体育馆、音乐厅、歌舞剧院、中华优秀传统文化基地、爱国主义教育基地、革命纪念基地、廉政教育基地等承载的育人资源，推进协同育人。鼓励学校以公益性为前提，与社区文化体育活动中心、勤工俭学服务中心、妇女儿童活动中心等第三方机构，以及合法合规、有安全保障、服务质量高的社会培训机构合作开展相关活动，丰富研学旅行教育资源。</w:t>
      </w:r>
      <w:bookmarkEnd w:id="178"/>
      <w:bookmarkEnd w:id="179"/>
      <w:bookmarkEnd w:id="180"/>
      <w:bookmarkEnd w:id="183"/>
    </w:p>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w:t>
            </w:r>
            <w:r>
              <w:rPr>
                <w:rFonts w:hint="eastAsia" w:ascii="Times New Roman" w:hAnsi="Times New Roman" w:eastAsia="仿宋_GB2312" w:cs="Times New Roman"/>
                <w:b/>
                <w:color w:val="000000"/>
                <w:sz w:val="28"/>
                <w:szCs w:val="28"/>
              </w:rPr>
              <w:t>中小学生健康成长、全面培养行动计划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60" w:firstLineChars="200"/>
              <w:rPr>
                <w:rFonts w:ascii="Times New Roman" w:hAnsi="Times New Roman" w:eastAsia="仿宋_GB2312" w:cs="Times New Roman"/>
                <w:color w:val="FF0000"/>
                <w:sz w:val="28"/>
                <w:szCs w:val="28"/>
              </w:rPr>
            </w:pPr>
          </w:p>
          <w:p>
            <w:pPr>
              <w:adjustRightInd w:val="0"/>
              <w:snapToGrid w:val="0"/>
              <w:spacing w:line="44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全面加强学校体育和卫生健康教育，开展学生体质健康提升工程；加强儿童青少年近视防控工作，控制儿童青少年近视发生率。构建大中小幼心理健康教育体系，建设10个（市级1个，各县区1个）校外辅导中心网络心理教育信息平台。构建大中小幼一体化思政工作体系，到2025年，80%以上学校基本形成较为科学合理的思政工作体系，建成50所思政工作体系优质学校。加强劳动教育以及国家安全和公共安全教育。构建大中小幼学校文化体系。到2025年底，全市80%以上的学校形成坚持社会主义核心价值观引领、具有清远文化特色和本校办学特色的学校文化体系，建成至少150所学校文化示范校。</w:t>
            </w:r>
          </w:p>
          <w:p>
            <w:pPr>
              <w:adjustRightInd w:val="0"/>
              <w:snapToGrid w:val="0"/>
              <w:spacing w:line="360" w:lineRule="exact"/>
              <w:ind w:firstLine="560" w:firstLineChars="200"/>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lang w:eastAsia="zh-CN"/>
              </w:rPr>
              <w:t>（见附件《清远市教育质量提升发展十大行动计划（2021-2025年）》）</w:t>
            </w:r>
          </w:p>
          <w:p>
            <w:pPr>
              <w:adjustRightInd w:val="0"/>
              <w:snapToGrid w:val="0"/>
              <w:spacing w:line="360" w:lineRule="exact"/>
              <w:ind w:firstLine="560" w:firstLineChars="200"/>
              <w:rPr>
                <w:rFonts w:hint="eastAsia" w:ascii="仿宋_GB2312" w:hAnsi="仿宋_GB2312" w:eastAsia="仿宋_GB2312" w:cs="仿宋_GB2312"/>
                <w:b/>
                <w:bCs/>
                <w:color w:val="000000"/>
                <w:sz w:val="28"/>
                <w:szCs w:val="28"/>
                <w:lang w:eastAsia="zh-CN"/>
              </w:rPr>
            </w:pPr>
          </w:p>
        </w:tc>
      </w:tr>
    </w:tbl>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bookmarkEnd w:id="94"/>
    <w:p>
      <w:pPr>
        <w:pStyle w:val="2"/>
        <w:jc w:val="center"/>
        <w:rPr>
          <w:rFonts w:hint="default"/>
        </w:rPr>
      </w:pPr>
      <w:bookmarkStart w:id="184" w:name="_Toc67038452"/>
      <w:bookmarkStart w:id="185" w:name="_Toc28310"/>
      <w:bookmarkStart w:id="186" w:name="_Toc26237"/>
      <w:bookmarkStart w:id="187" w:name="_Toc15056"/>
      <w:r>
        <w:t>四、加快教育高质量发展</w:t>
      </w:r>
      <w:bookmarkEnd w:id="184"/>
      <w:bookmarkEnd w:id="185"/>
      <w:bookmarkEnd w:id="186"/>
      <w:bookmarkEnd w:id="187"/>
    </w:p>
    <w:p>
      <w:pPr>
        <w:pStyle w:val="3"/>
        <w:ind w:firstLine="640"/>
      </w:pPr>
      <w:bookmarkStart w:id="188" w:name="_Toc6563"/>
      <w:bookmarkStart w:id="189" w:name="_Toc8046"/>
      <w:bookmarkStart w:id="190" w:name="_Toc21712"/>
      <w:bookmarkStart w:id="191" w:name="_Toc23265"/>
      <w:bookmarkStart w:id="192" w:name="_Toc67038453"/>
      <w:r>
        <w:rPr>
          <w:rFonts w:hint="eastAsia"/>
        </w:rPr>
        <w:t>（一）加快推进教育区域协调发展</w:t>
      </w:r>
      <w:bookmarkEnd w:id="188"/>
      <w:bookmarkEnd w:id="189"/>
      <w:bookmarkEnd w:id="190"/>
      <w:bookmarkEnd w:id="191"/>
    </w:p>
    <w:p>
      <w:pPr>
        <w:widowControl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bookmarkStart w:id="193" w:name="_Toc30033"/>
      <w:bookmarkStart w:id="194" w:name="_Toc30109"/>
      <w:bookmarkStart w:id="195" w:name="_Toc29774"/>
      <w:bookmarkStart w:id="196" w:name="_Toc8696"/>
      <w:r>
        <w:rPr>
          <w:rStyle w:val="35"/>
          <w:rFonts w:hint="eastAsia" w:ascii="仿宋_GB2312" w:hAnsi="仿宋_GB2312" w:eastAsia="仿宋_GB2312" w:cs="仿宋_GB2312"/>
          <w:sz w:val="32"/>
          <w:szCs w:val="32"/>
        </w:rPr>
        <w:t>1.全面推进乡村教育振兴。</w:t>
      </w:r>
      <w:bookmarkEnd w:id="193"/>
      <w:r>
        <w:rPr>
          <w:rFonts w:hint="eastAsia" w:ascii="仿宋_GB2312" w:hAnsi="仿宋_GB2312" w:eastAsia="仿宋_GB2312" w:cs="仿宋_GB2312"/>
          <w:bCs/>
          <w:color w:val="000000"/>
          <w:sz w:val="32"/>
          <w:szCs w:val="32"/>
        </w:rPr>
        <w:t>提升乡村教育设施水平，优化乡村学校布局结构，加强乡村小规模学校、乡镇寄宿制学校和义务教育标准化学校建设。推进教育集团化、学区化办学，提升薄弱地区、薄弱学校的办学质量和教学水平，促进城乡教育均衡化发展，全面提升乡村教育质量。整合县域职业教育资源，提高县域中等职业教育持续健康发展能力。创新发展面向农村的职业教育与成人教育，加大新型职业农民培育力度。加强乡村教师队伍建设，加大乡村骨干教师培养力度，精准培养本土化优秀教师，全面</w:t>
      </w:r>
      <w:r>
        <w:rPr>
          <w:rFonts w:hint="eastAsia" w:ascii="仿宋_GB2312" w:hAnsi="仿宋_GB2312" w:eastAsia="仿宋_GB2312" w:cs="仿宋_GB2312"/>
          <w:sz w:val="32"/>
          <w:szCs w:val="32"/>
        </w:rPr>
        <w:t>提高乡村教师教书育人本领。</w:t>
      </w:r>
      <w:bookmarkEnd w:id="194"/>
      <w:bookmarkEnd w:id="195"/>
      <w:bookmarkEnd w:id="196"/>
    </w:p>
    <w:p>
      <w:pPr>
        <w:rPr>
          <w:rFonts w:hint="eastAsia" w:ascii="仿宋_GB2312" w:hAnsi="仿宋_GB2312" w:eastAsia="仿宋_GB2312" w:cs="仿宋_GB2312"/>
          <w:sz w:val="32"/>
          <w:szCs w:val="32"/>
        </w:rPr>
      </w:pPr>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专栏2：乡村教育振兴行动计划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60" w:firstLineChars="200"/>
              <w:rPr>
                <w:rFonts w:hint="eastAsia" w:ascii="仿宋_GB2312" w:hAnsi="仿宋_GB2312" w:eastAsia="仿宋_GB2312" w:cs="仿宋_GB2312"/>
                <w:sz w:val="32"/>
                <w:szCs w:val="32"/>
              </w:rPr>
            </w:pPr>
          </w:p>
          <w:p>
            <w:pPr>
              <w:adjustRightInd w:val="0"/>
              <w:snapToGrid w:val="0"/>
              <w:spacing w:line="36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乡村学校党组织建设水平，学校党组织政治核心作用明显加强。提升乡村办学条件水平，乡村小规模学校、乡村公办幼儿园和小学附设幼儿班100%达到规范化（标准化）要求。提高乡村教师育人能力，乡村教师队伍整体素质明显提升，师德师风可靠过硬，教研能力明显增强。提升乡村学校育人质量，健全城乡教育融合发展体制机制。提升乡村学校办学水平，打造乡村特色学校，加强农村留守儿童关爱教育，提高教育质量。</w:t>
            </w:r>
          </w:p>
          <w:p>
            <w:pPr>
              <w:adjustRightInd w:val="0"/>
              <w:snapToGrid w:val="0"/>
              <w:spacing w:line="360" w:lineRule="exact"/>
              <w:ind w:firstLine="560" w:firstLineChars="200"/>
              <w:rPr>
                <w:rFonts w:hint="eastAsia" w:ascii="仿宋_GB2312" w:hAnsi="仿宋_GB2312" w:eastAsia="仿宋_GB2312" w:cs="仿宋_GB2312"/>
                <w:b/>
                <w:bCs/>
                <w:color w:val="000000"/>
                <w:sz w:val="32"/>
                <w:szCs w:val="32"/>
                <w:lang w:eastAsia="zh-CN"/>
              </w:rPr>
            </w:pPr>
          </w:p>
          <w:p>
            <w:pPr>
              <w:adjustRightInd w:val="0"/>
              <w:snapToGrid w:val="0"/>
              <w:spacing w:line="360" w:lineRule="exact"/>
              <w:ind w:firstLine="560" w:firstLineChars="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（见附件《清远市教育质量提升发展十大行动计划（2021-2025年）》）</w:t>
            </w:r>
          </w:p>
          <w:p>
            <w:pPr>
              <w:adjustRightInd w:val="0"/>
              <w:snapToGrid w:val="0"/>
              <w:spacing w:line="360" w:lineRule="exact"/>
              <w:ind w:firstLine="560" w:firstLineChars="200"/>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bookmarkStart w:id="197" w:name="_Toc28101"/>
      <w:bookmarkStart w:id="198" w:name="_Toc2388"/>
    </w:p>
    <w:p>
      <w:pPr>
        <w:widowControl w:val="0"/>
        <w:wordWrap/>
        <w:adjustRightInd w:val="0"/>
        <w:snapToGrid w:val="0"/>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bookmarkStart w:id="199" w:name="_Toc31946"/>
      <w:bookmarkStart w:id="200" w:name="_Toc13194"/>
      <w:r>
        <w:rPr>
          <w:rStyle w:val="35"/>
          <w:rFonts w:hint="eastAsia" w:ascii="仿宋_GB2312" w:hAnsi="仿宋_GB2312" w:eastAsia="仿宋_GB2312" w:cs="仿宋_GB2312"/>
          <w:sz w:val="32"/>
          <w:szCs w:val="32"/>
        </w:rPr>
        <w:t>2.巩固提高“创先”发展水平。</w:t>
      </w:r>
      <w:bookmarkEnd w:id="199"/>
      <w:r>
        <w:rPr>
          <w:rFonts w:hint="eastAsia" w:ascii="仿宋_GB2312" w:hAnsi="仿宋_GB2312" w:eastAsia="仿宋_GB2312" w:cs="仿宋_GB2312"/>
          <w:sz w:val="32"/>
          <w:szCs w:val="32"/>
        </w:rPr>
        <w:t>全面推进智慧教育建设，</w:t>
      </w:r>
      <w:bookmarkEnd w:id="197"/>
      <w:bookmarkEnd w:id="198"/>
      <w:bookmarkEnd w:id="200"/>
    </w:p>
    <w:p>
      <w:pPr>
        <w:widowControl w:val="0"/>
        <w:adjustRightInd w:val="0"/>
        <w:snapToGrid w:val="0"/>
        <w:spacing w:line="560" w:lineRule="exact"/>
        <w:textAlignment w:val="auto"/>
        <w:rPr>
          <w:rFonts w:hint="eastAsia" w:ascii="仿宋_GB2312" w:hAnsi="仿宋_GB2312" w:eastAsia="仿宋_GB2312" w:cs="仿宋_GB2312"/>
          <w:color w:val="000000"/>
          <w:sz w:val="32"/>
          <w:szCs w:val="32"/>
        </w:rPr>
      </w:pPr>
      <w:bookmarkStart w:id="201" w:name="_Toc20973"/>
      <w:bookmarkStart w:id="202" w:name="_Toc23060"/>
      <w:bookmarkStart w:id="203" w:name="_Toc3940"/>
      <w:r>
        <w:rPr>
          <w:rFonts w:hint="eastAsia" w:ascii="仿宋_GB2312" w:hAnsi="仿宋_GB2312" w:eastAsia="仿宋_GB2312" w:cs="仿宋_GB2312"/>
          <w:sz w:val="32"/>
          <w:szCs w:val="32"/>
        </w:rPr>
        <w:t>完善教育信息现代化体系。持续提高全国义务教育基本均衡发展县发展成果，推动开展全国义务教育优质均衡发展县督导评估，</w:t>
      </w:r>
      <w:commentRangeStart w:id="0"/>
      <w:r>
        <w:rPr>
          <w:rFonts w:hint="eastAsia" w:ascii="仿宋_GB2312" w:hAnsi="仿宋_GB2312" w:eastAsia="仿宋_GB2312" w:cs="仿宋_GB2312"/>
          <w:sz w:val="32"/>
          <w:szCs w:val="32"/>
        </w:rPr>
        <w:t>力争创建全国义务教育优质均衡发展县（市、区）取得突破。</w:t>
      </w:r>
      <w:commentRangeEnd w:id="0"/>
      <w:r>
        <w:rPr>
          <w:rFonts w:hint="eastAsia" w:ascii="仿宋_GB2312" w:hAnsi="仿宋_GB2312" w:eastAsia="仿宋_GB2312" w:cs="仿宋_GB2312"/>
          <w:sz w:val="32"/>
          <w:szCs w:val="32"/>
        </w:rPr>
        <w:commentReference w:id="0"/>
      </w:r>
      <w:r>
        <w:rPr>
          <w:rFonts w:hint="eastAsia" w:ascii="仿宋_GB2312" w:hAnsi="仿宋_GB2312" w:eastAsia="仿宋_GB2312" w:cs="仿宋_GB2312"/>
          <w:sz w:val="32"/>
          <w:szCs w:val="32"/>
        </w:rPr>
        <w:t>充分发挥广清教育一体化的发展机遇，推进清远教育与广州教育的密切合作，力促广州及珠</w:t>
      </w:r>
      <w:r>
        <w:rPr>
          <w:rFonts w:hint="eastAsia" w:ascii="仿宋_GB2312" w:hAnsi="仿宋_GB2312" w:eastAsia="仿宋_GB2312" w:cs="仿宋_GB2312"/>
          <w:color w:val="000000"/>
          <w:sz w:val="32"/>
          <w:szCs w:val="32"/>
        </w:rPr>
        <w:t>三角地区教育资源优势助力清远教育发展，使广清一体化成为清远教育优质发展的重要基石。实施“南融北扶”战略，南部地区借助广清一体化迅速“做大做强”，加快融入珠三角和粤港澳大湾区；北部少数民族地区重点打造民族教育品牌，</w:t>
      </w:r>
      <w:r>
        <w:rPr>
          <w:rFonts w:hint="eastAsia" w:ascii="仿宋_GB2312" w:hAnsi="仿宋_GB2312" w:eastAsia="仿宋_GB2312" w:cs="仿宋_GB2312"/>
          <w:bCs/>
          <w:color w:val="000000"/>
          <w:sz w:val="32"/>
          <w:szCs w:val="32"/>
        </w:rPr>
        <w:t>加快提升北部“三连一阳”地区基础教育品质。借助省级职教城创建现代职业教育示范市，打造清远职业教育特色品牌。</w:t>
      </w:r>
      <w:r>
        <w:rPr>
          <w:rFonts w:hint="eastAsia" w:ascii="仿宋_GB2312" w:hAnsi="仿宋_GB2312" w:eastAsia="仿宋_GB2312" w:cs="仿宋_GB2312"/>
          <w:color w:val="000000"/>
          <w:sz w:val="32"/>
          <w:szCs w:val="32"/>
        </w:rPr>
        <w:t>进一步扩大对外合作交流，全面提升清远教育的对外开放程度和国际化水平。</w:t>
      </w:r>
      <w:bookmarkEnd w:id="201"/>
      <w:bookmarkEnd w:id="202"/>
      <w:bookmarkEnd w:id="203"/>
    </w:p>
    <w:p>
      <w:pPr>
        <w:widowControl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bookmarkStart w:id="204" w:name="_Toc19952"/>
      <w:bookmarkStart w:id="205" w:name="_Toc11519"/>
      <w:bookmarkStart w:id="206" w:name="_Toc5914"/>
      <w:bookmarkStart w:id="207" w:name="_Toc6168"/>
      <w:r>
        <w:rPr>
          <w:rStyle w:val="35"/>
          <w:rFonts w:hint="eastAsia" w:ascii="仿宋_GB2312" w:hAnsi="仿宋_GB2312" w:eastAsia="仿宋_GB2312" w:cs="仿宋_GB2312"/>
          <w:sz w:val="32"/>
          <w:szCs w:val="32"/>
        </w:rPr>
        <w:t>3.深化教育结对帮扶。</w:t>
      </w:r>
      <w:bookmarkEnd w:id="204"/>
      <w:r>
        <w:rPr>
          <w:rFonts w:hint="eastAsia" w:ascii="仿宋_GB2312" w:hAnsi="仿宋_GB2312" w:eastAsia="仿宋_GB2312" w:cs="仿宋_GB2312"/>
          <w:sz w:val="32"/>
          <w:szCs w:val="32"/>
        </w:rPr>
        <w:t>建立健全全口径、多层次教育帮扶机制。推进“广清一体化”教育交流学校联盟建设，支持广清两地中小学、幼儿园自发组建新教育联盟，扩大基础教育联盟队伍，积极发挥各种基础教育联盟的作用，开展深度结对帮扶；强化广州市及各帮扶区教育研究机构与清远市、县（市、区）结对帮扶；深化广清教育帮扶“校镇结对”教师跟岗学习活动，培养清远乡村种子教师，夯实乡村教育振兴的基础；探索广州名校托管清远学校、广州教师到清远挂职支教、广州组织专家导师团队赴清支援等新模式，提升清远的教育教学管理水平。通过建立全口径组团式结对支持、协同推进的帮扶机制，促进清远教师队伍能力素质、教学质量、办学水平、学校管理、党建团建队建水平等方面全面提升，逐步缩小两地教育发展水平的差距。积极引进广州及粤港澳大湾区优质教育资源，鼓励广州等地名校如广州大学附属中学等到清远办分校、校区或合作班，推动清远基础教育优质多元发展。支持清远本地学校与粤港澳大湾区（珠三角）的优质学校结成战略伙伴关系联盟，形成长效合作机制，通过对口支援、资源共享、联合办学等方式，加速提升学校办学水平。</w:t>
      </w:r>
      <w:bookmarkEnd w:id="205"/>
      <w:bookmarkEnd w:id="206"/>
      <w:bookmarkEnd w:id="207"/>
    </w:p>
    <w:p>
      <w:pPr>
        <w:widowControl w:val="0"/>
        <w:adjustRightInd w:val="0"/>
        <w:snapToGrid w:val="0"/>
        <w:spacing w:line="560" w:lineRule="exact"/>
        <w:ind w:firstLine="640" w:firstLineChars="200"/>
        <w:textAlignment w:val="auto"/>
        <w:rPr>
          <w:rFonts w:ascii="仿宋_GB2312" w:hAnsi="仿宋_GB2312" w:eastAsia="仿宋_GB2312" w:cs="仿宋_GB2312"/>
          <w:sz w:val="32"/>
          <w:szCs w:val="32"/>
        </w:rPr>
      </w:pPr>
      <w:bookmarkStart w:id="208" w:name="_Toc4466"/>
      <w:bookmarkStart w:id="209" w:name="_Toc22939"/>
      <w:bookmarkStart w:id="210" w:name="_Toc1881"/>
      <w:r>
        <w:rPr>
          <w:rFonts w:hint="eastAsia" w:ascii="仿宋_GB2312" w:hAnsi="仿宋_GB2312" w:eastAsia="仿宋_GB2312" w:cs="仿宋_GB2312"/>
          <w:sz w:val="32"/>
          <w:szCs w:val="32"/>
        </w:rPr>
        <w:t>主动适应广清产业发展需求，加强技术技能型人才培养。大力推动广清职业教育校企合作联盟建设。探索共建校外实训基地、共同开发课程与教学资源、共同参与教学评价、进行订单式人才培养等方式。探索构建产学研用深度融合的全链条、网络化、开放式协同创新联盟。鼓励清远的职业院校与广州及粤港澳大湾区规模以上企业开展深度产教融合、校企合作。鼓励校企双元合作共同开发课程项目、职业教育规划教材，共建双师型教师培养培训基地和教师企业实践基地、学生实习实训基地、实验室，共同研制开发X职业技能证书与培训，共同参与教学过程与教学评估活动。支持新建一批联合招生、联合培养、一体化育人的现代学徒制试点专业，开创校企协同、开放办学的新模式。实施职业院校结对协同发展计划，推进职业院校在人才培养、课程开发、专业建设、师资队伍建设、科研创新、社会服务等方面开展深度交流与合作，促进职业教育质量的提升。</w:t>
      </w:r>
      <w:bookmarkEnd w:id="208"/>
      <w:bookmarkEnd w:id="209"/>
      <w:bookmarkEnd w:id="210"/>
    </w:p>
    <w:p>
      <w:pPr>
        <w:pStyle w:val="3"/>
        <w:ind w:firstLine="640"/>
      </w:pPr>
      <w:bookmarkStart w:id="211" w:name="_Toc23811"/>
      <w:bookmarkStart w:id="212" w:name="_Toc32418"/>
      <w:bookmarkStart w:id="213" w:name="_Toc21732"/>
      <w:bookmarkStart w:id="214" w:name="_Toc8187"/>
      <w:r>
        <w:rPr>
          <w:rFonts w:hint="eastAsia"/>
        </w:rPr>
        <w:t>（二）持续推进基础教育高质量发展</w:t>
      </w:r>
      <w:bookmarkEnd w:id="192"/>
      <w:bookmarkEnd w:id="211"/>
      <w:bookmarkEnd w:id="212"/>
      <w:bookmarkEnd w:id="213"/>
      <w:bookmarkEnd w:id="214"/>
    </w:p>
    <w:p>
      <w:pPr>
        <w:spacing w:line="560" w:lineRule="exact"/>
        <w:ind w:firstLine="640" w:firstLineChars="200"/>
        <w:rPr>
          <w:rFonts w:hint="eastAsia" w:ascii="仿宋_GB2312" w:hAnsi="仿宋_GB2312" w:eastAsia="仿宋_GB2312" w:cs="仿宋_GB2312"/>
          <w:sz w:val="32"/>
          <w:szCs w:val="32"/>
        </w:rPr>
      </w:pPr>
      <w:bookmarkStart w:id="215" w:name="_Toc4362"/>
      <w:bookmarkStart w:id="216" w:name="_Toc13336"/>
      <w:bookmarkStart w:id="217" w:name="_Toc9429"/>
      <w:r>
        <w:rPr>
          <w:rStyle w:val="35"/>
          <w:rFonts w:hint="eastAsia"/>
        </w:rPr>
        <w:t>1</w:t>
      </w:r>
      <w:r>
        <w:rPr>
          <w:rStyle w:val="35"/>
          <w:rFonts w:hint="eastAsia" w:ascii="仿宋_GB2312" w:hAnsi="仿宋_GB2312" w:eastAsia="仿宋_GB2312" w:cs="仿宋_GB2312"/>
        </w:rPr>
        <w:t>.推进学前教育普及普惠安全优质发展。</w:t>
      </w:r>
      <w:bookmarkEnd w:id="215"/>
      <w:bookmarkEnd w:id="216"/>
      <w:bookmarkEnd w:id="217"/>
      <w:r>
        <w:rPr>
          <w:rFonts w:hint="eastAsia" w:ascii="仿宋_GB2312" w:hAnsi="仿宋_GB2312" w:eastAsia="仿宋_GB2312" w:cs="仿宋_GB2312"/>
          <w:sz w:val="32"/>
          <w:szCs w:val="32"/>
        </w:rPr>
        <w:t>持续加大学前教育学位供给保障力度，巩固提升“5080”攻坚工程成果，根据人口变化趋势和“5080”要求，以县（市、区）为单位修订编制幼儿园建设规划。鼓励探索创新公办幼儿园管理体制，支持社会力量以多种形式举办普惠优质幼儿园，规范城镇小区配套幼儿园的建设、使用和管理，严格落实配套幼儿园与首期建设的居民住宅区同步规划、同步设计、同步建设、同步验收、同步交付使用政策要求，积极发展农村学前教育，常住人口达到一定规模的镇、街、行政村公办幼儿园学位进一步扩大，为适龄儿童就近接受普惠、安全、优质、便利学前教育提供多样化支持。“十四五”期间，全市力争增加公办学前教育学位2.5万个以上。到2025年，全市学前教育三年毛入园率继续保持在98%以上，公办幼儿园在园幼儿占比保持在50%以上，公办幼儿园和普惠性民办幼儿园在园幼儿占比保持在80%以上。完善学前教育成本分担机制。各地应建立教育、财政、发改（物价）等相关部门联动机制，根据办园成本、经济发展水平、群众承受能力等因素，合理确定公办园保教费标准并建立定期动态调节机制，确保各类幼儿园正常运作、持续健康发展。切实强化办园行为监管，严格准入制度，对未达到规范化标准的幼儿园，落实限期整改制度。不断提高幼儿园保教质量，进一步完善学前教育管理队伍、教师队伍、教研队伍配置，支持和推进学前教育公办幼儿园集团化办学，开展省级“新课程”科学保教示范项目培育和“安吉游戏推广国家级实验区”试点工作。全面推进县域学前教育普及普惠督导评估工作。</w:t>
      </w:r>
    </w:p>
    <w:p>
      <w:pPr>
        <w:spacing w:line="560" w:lineRule="exact"/>
        <w:ind w:firstLine="640" w:firstLineChars="200"/>
        <w:rPr>
          <w:rFonts w:ascii="仿宋_GB2312" w:hAnsi="仿宋_GB2312" w:eastAsia="仿宋_GB2312" w:cs="仿宋_GB2312"/>
          <w:sz w:val="32"/>
          <w:szCs w:val="32"/>
        </w:rPr>
      </w:pPr>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专栏</w:t>
            </w:r>
            <w:r>
              <w:rPr>
                <w:rFonts w:hint="eastAsia" w:ascii="Times New Roman" w:hAnsi="Times New Roman" w:eastAsia="仿宋_GB2312" w:cs="Times New Roman"/>
                <w:b/>
                <w:sz w:val="28"/>
                <w:szCs w:val="28"/>
              </w:rPr>
              <w:t>3</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学前教育优质普惠发展行动计划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60" w:firstLineChars="200"/>
              <w:rPr>
                <w:rFonts w:ascii="Times New Roman" w:hAnsi="Times New Roman" w:eastAsia="仿宋" w:cs="Times New Roman"/>
                <w:sz w:val="28"/>
                <w:szCs w:val="28"/>
              </w:rPr>
            </w:pPr>
          </w:p>
          <w:p>
            <w:pPr>
              <w:adjustRightInd w:val="0"/>
              <w:snapToGrid w:val="0"/>
              <w:spacing w:line="360" w:lineRule="exact"/>
              <w:ind w:firstLine="560" w:firstLineChars="200"/>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积极响应社会对普惠性学前教育学位的需求，到2025年，全市累计增加公办幼儿园学位2.5万个，公办幼儿园在园幼儿比例保持在50%以上，公办和普惠性民办幼儿园在园幼儿比例保持在80%以上。全市学前教育毛入园率保持在98%以上。积极推进5个省级“新课程”科学保教示范项目和“安吉游戏推广国家级实验区”项目，带动全市幼儿园保教质量全面提升。开展县域学前教育普及普惠督导评估迎评工作，推动2个以上县（市、区）完成评估验收申报。</w:t>
            </w:r>
          </w:p>
          <w:p>
            <w:pPr>
              <w:adjustRightInd w:val="0"/>
              <w:snapToGrid w:val="0"/>
              <w:spacing w:line="360" w:lineRule="exact"/>
              <w:ind w:firstLine="560" w:firstLineChars="200"/>
              <w:rPr>
                <w:rFonts w:ascii="Times New Roman" w:hAnsi="Times New Roman" w:eastAsia="仿宋" w:cs="Times New Roman"/>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tc>
      </w:tr>
    </w:tbl>
    <w:p>
      <w:pPr>
        <w:spacing w:line="560" w:lineRule="exact"/>
        <w:ind w:firstLine="640" w:firstLineChars="200"/>
        <w:rPr>
          <w:rStyle w:val="35"/>
        </w:rPr>
      </w:pPr>
    </w:p>
    <w:p>
      <w:pPr>
        <w:spacing w:line="560" w:lineRule="exact"/>
        <w:ind w:firstLine="640" w:firstLineChars="200"/>
        <w:rPr>
          <w:rFonts w:hint="eastAsia" w:ascii="仿宋_GB2312" w:hAnsi="仿宋_GB2312" w:eastAsia="仿宋_GB2312" w:cs="仿宋_GB2312"/>
          <w:color w:val="000000"/>
          <w:sz w:val="32"/>
          <w:szCs w:val="32"/>
        </w:rPr>
      </w:pPr>
      <w:bookmarkStart w:id="218" w:name="_Toc23261"/>
      <w:bookmarkStart w:id="219" w:name="_Toc9550"/>
      <w:bookmarkStart w:id="220" w:name="_Toc773"/>
      <w:r>
        <w:rPr>
          <w:rStyle w:val="35"/>
          <w:rFonts w:hint="eastAsia" w:ascii="仿宋_GB2312" w:hAnsi="仿宋_GB2312" w:eastAsia="仿宋_GB2312" w:cs="仿宋_GB2312"/>
        </w:rPr>
        <w:t>2.提升义务教育优质均衡发展水平。</w:t>
      </w:r>
      <w:bookmarkEnd w:id="218"/>
      <w:bookmarkEnd w:id="219"/>
      <w:bookmarkEnd w:id="220"/>
      <w:r>
        <w:rPr>
          <w:rFonts w:hint="eastAsia" w:ascii="仿宋_GB2312" w:hAnsi="仿宋_GB2312" w:eastAsia="仿宋_GB2312" w:cs="仿宋_GB2312"/>
          <w:bCs/>
          <w:sz w:val="32"/>
          <w:szCs w:val="32"/>
        </w:rPr>
        <w:t>加大学位供给力度。落实县级政府管理义务教育主体责任，科学编制、落实义务教育学校中长期布局规划和建设，保障教育用地和建设经费，到2025年，新建、改扩建义务教育学校累计不少于40所，增加学位不少于5万个，进一步减少超省标班额和超大规模学校。加强两类学校建设。按照“因地制宜、科学评估、应留必留、先建后撤、积极稳妥”的原则，有规划地撤并农村教学点。进一步完善乡村小规模学校办学条件，确保达到标准化学校要求。大力推动义务教育共同体建设，推动城乡义务教育优质均衡发展，提高乡村学校办学水平。健全市、县两级义务教育质量监测机制，强化义务教育质量监测结果应用，切实发挥监测的“诊断”功能，提高义务教育质量，力争到2025年，全市义务教育质量监测结果接近全省平均水平。开展义务教育评价改革，推进素质教育内涵发展。坚决查处中小学不遵守课程方案和课程标准等行为，规范校外培训机构发展，“双管齐下”减轻中小学生过重课外负担。建立健全初中学生综合素质评价制度，改革招生录取模式，到2025年，形成完善的基于初中学业水平考试成绩、结合学生综合素质评价的高中阶段学校考试招生录取模式。加大控辍保学工作力度。形成家庭、学校、政府、社会齐抓共管工作机制，精准开展控辍保学工作，确保适龄学生依法完成九年义务教育。健全家庭经济困难学生、残疾儿童、留守儿童、随迁子女、特殊需要学生的精准帮扶责任制度，进一步预防因贫因困辍学。</w:t>
      </w:r>
    </w:p>
    <w:p>
      <w:pPr>
        <w:spacing w:line="560" w:lineRule="exact"/>
        <w:ind w:firstLine="640" w:firstLineChars="200"/>
        <w:rPr>
          <w:rFonts w:ascii="仿宋_GB2312" w:hAnsi="仿宋_GB2312" w:eastAsia="仿宋_GB2312" w:cs="仿宋_GB2312"/>
          <w:color w:val="000000"/>
          <w:sz w:val="32"/>
          <w:szCs w:val="32"/>
        </w:rPr>
      </w:pPr>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4</w:t>
            </w:r>
            <w:r>
              <w:rPr>
                <w:rFonts w:ascii="Times New Roman" w:hAnsi="Times New Roman" w:eastAsia="仿宋_GB2312" w:cs="Times New Roman"/>
                <w:b/>
                <w:color w:val="000000"/>
                <w:sz w:val="28"/>
                <w:szCs w:val="28"/>
              </w:rPr>
              <w:t>：</w:t>
            </w:r>
            <w:r>
              <w:rPr>
                <w:rFonts w:hint="eastAsia" w:ascii="Times New Roman" w:hAnsi="Times New Roman" w:eastAsia="仿宋" w:cs="Times New Roman"/>
                <w:b/>
                <w:color w:val="000000"/>
                <w:sz w:val="28"/>
                <w:szCs w:val="28"/>
              </w:rPr>
              <w:t>义务教育优质均衡发展行动计划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60" w:firstLineChars="200"/>
              <w:rPr>
                <w:rFonts w:ascii="Times New Roman" w:hAnsi="Times New Roman" w:eastAsia="仿宋" w:cs="Times New Roman"/>
                <w:sz w:val="28"/>
                <w:szCs w:val="28"/>
              </w:rPr>
            </w:pPr>
          </w:p>
          <w:p>
            <w:pPr>
              <w:adjustRightInd w:val="0"/>
              <w:snapToGrid w:val="0"/>
              <w:spacing w:line="3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做好规划建设，增加义务教育学校优质学位，到2025年，新建、改扩建义务教育学校累计不少于40所，增加学位不少于5</w:t>
            </w:r>
            <w:r>
              <w:rPr>
                <w:rFonts w:hint="eastAsia" w:ascii="Times New Roman" w:hAnsi="Times New Roman" w:eastAsia="仿宋" w:cs="Times New Roman"/>
                <w:sz w:val="28"/>
                <w:szCs w:val="28"/>
              </w:rPr>
              <w:t>万</w:t>
            </w:r>
            <w:r>
              <w:rPr>
                <w:rFonts w:ascii="Times New Roman" w:hAnsi="Times New Roman" w:eastAsia="仿宋" w:cs="Times New Roman"/>
                <w:sz w:val="28"/>
                <w:szCs w:val="28"/>
              </w:rPr>
              <w:t>个。推动义务教育发展共同体建设，推进义务教育优质均衡发展。</w:t>
            </w:r>
            <w:r>
              <w:rPr>
                <w:rFonts w:hint="eastAsia" w:ascii="Times New Roman" w:hAnsi="Times New Roman" w:eastAsia="仿宋" w:cs="Times New Roman"/>
                <w:sz w:val="28"/>
                <w:szCs w:val="28"/>
              </w:rPr>
              <w:t>努力提高</w:t>
            </w:r>
            <w:r>
              <w:rPr>
                <w:rFonts w:ascii="Times New Roman" w:hAnsi="Times New Roman" w:eastAsia="仿宋" w:cs="Times New Roman"/>
                <w:sz w:val="28"/>
                <w:szCs w:val="28"/>
              </w:rPr>
              <w:t>义务教育质量，力争到2025年，全市义务教育质量监测结果达全省平均水平。深入推进义务教育评价改革</w:t>
            </w:r>
            <w:r>
              <w:rPr>
                <w:rFonts w:hint="eastAsia" w:ascii="Times New Roman" w:hAnsi="Times New Roman" w:eastAsia="仿宋" w:cs="Times New Roman"/>
                <w:sz w:val="28"/>
                <w:szCs w:val="28"/>
              </w:rPr>
              <w:t>，推进素质教育内涵发展</w:t>
            </w:r>
            <w:r>
              <w:rPr>
                <w:rFonts w:ascii="Times New Roman" w:hAnsi="Times New Roman" w:eastAsia="仿宋" w:cs="Times New Roman"/>
                <w:sz w:val="28"/>
                <w:szCs w:val="28"/>
              </w:rPr>
              <w:t>。</w:t>
            </w:r>
          </w:p>
          <w:p>
            <w:pPr>
              <w:adjustRightInd w:val="0"/>
              <w:snapToGrid w:val="0"/>
              <w:spacing w:line="360" w:lineRule="exact"/>
              <w:rPr>
                <w:rFonts w:ascii="Times New Roman" w:hAnsi="Times New Roman" w:eastAsia="仿宋" w:cs="Times New Roman"/>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tc>
      </w:tr>
    </w:tbl>
    <w:p>
      <w:bookmarkStart w:id="221" w:name="_Toc9874"/>
      <w:bookmarkStart w:id="222" w:name="_Toc67038456"/>
    </w:p>
    <w:bookmarkEnd w:id="221"/>
    <w:bookmarkEnd w:id="222"/>
    <w:p>
      <w:pPr>
        <w:widowControl w:val="0"/>
        <w:spacing w:line="560" w:lineRule="exact"/>
        <w:ind w:firstLine="640" w:firstLineChars="200"/>
        <w:textAlignment w:val="auto"/>
        <w:rPr>
          <w:rFonts w:hint="eastAsia" w:ascii="仿宋_GB2312" w:hAnsi="仿宋_GB2312" w:eastAsia="仿宋_GB2312" w:cs="仿宋_GB2312"/>
          <w:sz w:val="32"/>
          <w:szCs w:val="32"/>
        </w:rPr>
      </w:pPr>
      <w:bookmarkStart w:id="223" w:name="_Toc3441"/>
      <w:bookmarkStart w:id="224" w:name="_Toc27901"/>
      <w:bookmarkStart w:id="225" w:name="_Toc18734"/>
      <w:r>
        <w:rPr>
          <w:rStyle w:val="35"/>
          <w:rFonts w:hint="eastAsia" w:ascii="仿宋_GB2312" w:hAnsi="仿宋_GB2312" w:eastAsia="仿宋_GB2312" w:cs="仿宋_GB2312"/>
        </w:rPr>
        <w:t>3.推进普通高中教育优质特色多样化发展。</w:t>
      </w:r>
      <w:bookmarkEnd w:id="223"/>
      <w:bookmarkEnd w:id="224"/>
      <w:bookmarkEnd w:id="225"/>
      <w:r>
        <w:rPr>
          <w:rFonts w:hint="eastAsia" w:ascii="仿宋_GB2312" w:hAnsi="仿宋_GB2312" w:eastAsia="仿宋_GB2312" w:cs="仿宋_GB2312"/>
          <w:bCs/>
          <w:sz w:val="32"/>
          <w:szCs w:val="32"/>
        </w:rPr>
        <w:t>加大普通高中学位供给保障力度，“十四五”期间，中心城区新建、改扩建普通高中不少于2所，全市新增约</w:t>
      </w:r>
      <w:r>
        <w:rPr>
          <w:rFonts w:hint="eastAsia" w:ascii="仿宋_GB2312" w:hAnsi="仿宋_GB2312" w:eastAsia="仿宋_GB2312" w:cs="仿宋_GB2312"/>
          <w:bCs/>
          <w:sz w:val="32"/>
          <w:szCs w:val="32"/>
          <w:highlight w:val="green"/>
        </w:rPr>
        <w:t>7400</w:t>
      </w:r>
      <w:r>
        <w:rPr>
          <w:rFonts w:hint="eastAsia" w:ascii="仿宋_GB2312" w:hAnsi="仿宋_GB2312" w:eastAsia="仿宋_GB2312" w:cs="仿宋_GB2312"/>
          <w:bCs/>
          <w:sz w:val="32"/>
          <w:szCs w:val="32"/>
        </w:rPr>
        <w:t>个公办普通高中学位。推进清远市第一中学、清远市华侨中学教育集团创建，形成跨区域、跨学段横向连通、纵向衔接</w:t>
      </w:r>
      <w:r>
        <w:rPr>
          <w:rFonts w:hint="eastAsia" w:ascii="仿宋_GB2312" w:hAnsi="仿宋_GB2312" w:eastAsia="仿宋_GB2312" w:cs="仿宋_GB2312"/>
          <w:sz w:val="32"/>
          <w:szCs w:val="32"/>
        </w:rPr>
        <w:t>的发展模式，推进资源共享、交流合作、优势互补、共同发展。</w:t>
      </w:r>
      <w:r>
        <w:rPr>
          <w:rFonts w:hint="eastAsia" w:ascii="仿宋_GB2312" w:hAnsi="仿宋_GB2312" w:eastAsia="仿宋_GB2312" w:cs="仿宋_GB2312"/>
          <w:b/>
          <w:bCs/>
          <w:sz w:val="32"/>
          <w:szCs w:val="32"/>
        </w:rPr>
        <w:t>实施卓越高中、特色高中、品牌民办高中创建工程，</w:t>
      </w:r>
      <w:r>
        <w:rPr>
          <w:rFonts w:hint="eastAsia" w:ascii="仿宋_GB2312" w:hAnsi="仿宋_GB2312" w:eastAsia="仿宋_GB2312" w:cs="仿宋_GB2312"/>
          <w:sz w:val="32"/>
          <w:szCs w:val="32"/>
        </w:rPr>
        <w:t>基本形成普通高中优质多样特色发展分类体系。全市</w:t>
      </w:r>
      <w:r>
        <w:rPr>
          <w:rFonts w:hint="eastAsia" w:ascii="仿宋_GB2312" w:hAnsi="仿宋_GB2312" w:eastAsia="仿宋_GB2312" w:cs="仿宋_GB2312"/>
          <w:b/>
          <w:bCs/>
          <w:sz w:val="32"/>
          <w:szCs w:val="32"/>
        </w:rPr>
        <w:t>培育3-5所在</w:t>
      </w:r>
      <w:r>
        <w:rPr>
          <w:rFonts w:hint="eastAsia" w:ascii="仿宋_GB2312" w:hAnsi="仿宋_GB2312" w:eastAsia="仿宋_GB2312" w:cs="仿宋_GB2312"/>
          <w:sz w:val="32"/>
          <w:szCs w:val="32"/>
        </w:rPr>
        <w:t>学科建设、创新人才培养能力和整体育人水平上具有一定影响力的</w:t>
      </w:r>
      <w:r>
        <w:rPr>
          <w:rFonts w:hint="eastAsia" w:ascii="仿宋_GB2312" w:hAnsi="仿宋_GB2312" w:eastAsia="仿宋_GB2312" w:cs="仿宋_GB2312"/>
          <w:b/>
          <w:bCs/>
          <w:sz w:val="32"/>
          <w:szCs w:val="32"/>
        </w:rPr>
        <w:t>卓越高中</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打造6-8所在</w:t>
      </w:r>
      <w:r>
        <w:rPr>
          <w:rFonts w:hint="eastAsia" w:ascii="仿宋_GB2312" w:hAnsi="仿宋_GB2312" w:eastAsia="仿宋_GB2312" w:cs="仿宋_GB2312"/>
          <w:sz w:val="32"/>
          <w:szCs w:val="32"/>
        </w:rPr>
        <w:t>特色项目建设、多元化人才培养能力和个性化育人水平上效果显著的</w:t>
      </w:r>
      <w:r>
        <w:rPr>
          <w:rFonts w:hint="eastAsia" w:ascii="仿宋_GB2312" w:hAnsi="仿宋_GB2312" w:eastAsia="仿宋_GB2312" w:cs="仿宋_GB2312"/>
          <w:b/>
          <w:bCs/>
          <w:sz w:val="32"/>
          <w:szCs w:val="32"/>
        </w:rPr>
        <w:t>特色高中</w:t>
      </w:r>
      <w:r>
        <w:rPr>
          <w:rFonts w:hint="eastAsia" w:ascii="仿宋_GB2312" w:hAnsi="仿宋_GB2312" w:eastAsia="仿宋_GB2312" w:cs="仿宋_GB2312"/>
          <w:sz w:val="32"/>
          <w:szCs w:val="32"/>
        </w:rPr>
        <w:t>；积极支持培育</w:t>
      </w:r>
      <w:r>
        <w:rPr>
          <w:rFonts w:hint="eastAsia" w:ascii="仿宋_GB2312" w:hAnsi="仿宋_GB2312" w:eastAsia="仿宋_GB2312" w:cs="仿宋_GB2312"/>
          <w:b/>
          <w:bCs/>
          <w:sz w:val="32"/>
          <w:szCs w:val="32"/>
        </w:rPr>
        <w:t>1-2所</w:t>
      </w:r>
      <w:r>
        <w:rPr>
          <w:rFonts w:hint="eastAsia" w:ascii="仿宋_GB2312" w:hAnsi="仿宋_GB2312" w:eastAsia="仿宋_GB2312" w:cs="仿宋_GB2312"/>
          <w:sz w:val="32"/>
          <w:szCs w:val="32"/>
        </w:rPr>
        <w:t>综合竞争力强、育人水平高、社会口碑好的</w:t>
      </w:r>
      <w:r>
        <w:rPr>
          <w:rFonts w:hint="eastAsia" w:ascii="仿宋_GB2312" w:hAnsi="仿宋_GB2312" w:eastAsia="仿宋_GB2312" w:cs="仿宋_GB2312"/>
          <w:b/>
          <w:bCs/>
          <w:sz w:val="32"/>
          <w:szCs w:val="32"/>
        </w:rPr>
        <w:t>品牌民办高中。构建丰富多样、促进学生全面而有个性发展的普通高中课程体系。</w:t>
      </w:r>
      <w:r>
        <w:rPr>
          <w:rFonts w:hint="eastAsia" w:ascii="仿宋_GB2312" w:hAnsi="仿宋_GB2312" w:eastAsia="仿宋_GB2312" w:cs="仿宋_GB2312"/>
          <w:sz w:val="32"/>
          <w:szCs w:val="32"/>
        </w:rPr>
        <w:t>深化课程教学管理改革，按照高考综合改革需要，改进教学组织管理，加大班级编排、学生管理、教师调配等统筹协调力度，因校制宜开展选课走班，引导学生理性选科。</w:t>
      </w:r>
      <w:r>
        <w:rPr>
          <w:rFonts w:hint="eastAsia" w:ascii="仿宋_GB2312" w:hAnsi="仿宋_GB2312" w:eastAsia="仿宋_GB2312" w:cs="仿宋_GB2312"/>
          <w:b/>
          <w:bCs/>
          <w:sz w:val="32"/>
          <w:szCs w:val="32"/>
        </w:rPr>
        <w:t>调整普通高中招生考试办法。</w:t>
      </w:r>
      <w:r>
        <w:rPr>
          <w:rFonts w:hint="eastAsia" w:ascii="仿宋_GB2312" w:hAnsi="仿宋_GB2312" w:eastAsia="仿宋_GB2312" w:cs="仿宋_GB2312"/>
          <w:sz w:val="32"/>
          <w:szCs w:val="32"/>
        </w:rPr>
        <w:t>结合学校的特色发展项目，鼓励普通高中在政策范围内积极开展自主招生，主动适应高考招生模式的变化和学生自主长远发展。积极落实新高考改革政策，逐步完善体育和健康等5个学科的学业水平考试方案，引导高中阶段学校特色多样化发展，满足学生的多元发展需求。</w:t>
      </w:r>
      <w:r>
        <w:rPr>
          <w:rFonts w:hint="eastAsia" w:ascii="仿宋_GB2312" w:hAnsi="仿宋_GB2312" w:eastAsia="仿宋_GB2312" w:cs="仿宋_GB2312"/>
          <w:b/>
          <w:bCs/>
          <w:sz w:val="32"/>
          <w:szCs w:val="32"/>
        </w:rPr>
        <w:t>完善普通高中教学质量评价机制。</w:t>
      </w:r>
      <w:r>
        <w:rPr>
          <w:rFonts w:hint="eastAsia" w:ascii="仿宋_GB2312" w:hAnsi="仿宋_GB2312" w:eastAsia="仿宋_GB2312" w:cs="仿宋_GB2312"/>
          <w:sz w:val="32"/>
          <w:szCs w:val="32"/>
        </w:rPr>
        <w:t>在学校管理常规督导的基础上，积极探索建立学生学习诊断和质量分析系统，充分利用大数据构建学生学习水平能力提升的智能分析体系，加强对教育质量的跟踪监控。</w:t>
      </w:r>
    </w:p>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5</w:t>
            </w:r>
            <w:r>
              <w:rPr>
                <w:rFonts w:ascii="Times New Roman" w:hAnsi="Times New Roman" w:eastAsia="仿宋_GB2312" w:cs="Times New Roman"/>
                <w:b/>
                <w:color w:val="000000"/>
                <w:sz w:val="28"/>
                <w:szCs w:val="28"/>
              </w:rPr>
              <w:t>：</w:t>
            </w:r>
            <w:r>
              <w:rPr>
                <w:rFonts w:hint="eastAsia" w:ascii="Times New Roman" w:hAnsi="Times New Roman" w:eastAsia="仿宋" w:cs="Times New Roman"/>
                <w:b/>
                <w:color w:val="000000"/>
                <w:sz w:val="28"/>
                <w:szCs w:val="28"/>
              </w:rPr>
              <w:t>普通高中优质多样特色发展行动计划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49" w:firstLineChars="196"/>
              <w:rPr>
                <w:rFonts w:ascii="仿宋_GB2312" w:hAnsi="仿宋_GB2312" w:eastAsia="仿宋_GB2312" w:cs="仿宋_GB2312"/>
                <w:color w:val="FF0000"/>
                <w:sz w:val="28"/>
                <w:szCs w:val="28"/>
              </w:rPr>
            </w:pPr>
          </w:p>
          <w:p>
            <w:pPr>
              <w:adjustRightInd w:val="0"/>
              <w:snapToGrid w:val="0"/>
              <w:spacing w:line="360" w:lineRule="exact"/>
              <w:ind w:firstLine="549"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创建3-5所卓越高中，引领全市普通高中改革创新发展；遴选创建3-5所人文、数理、科技、艺术、体育等特色高中，带动全市高中特色多样发展；推动1—2所综合竞争力强、育人水平高、社会口碑好、具有市内外影响力的民办高中建成为品牌民办学校。构建丰富多样、促进学生全面而有个性发展的普通高中课程体系。完善普通高中教学质量评价机制。</w:t>
            </w:r>
          </w:p>
          <w:p>
            <w:pPr>
              <w:adjustRightInd w:val="0"/>
              <w:snapToGrid w:val="0"/>
              <w:spacing w:line="360" w:lineRule="exact"/>
              <w:ind w:firstLine="549"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p>
            <w:pPr>
              <w:adjustRightInd w:val="0"/>
              <w:snapToGrid w:val="0"/>
              <w:spacing w:line="360" w:lineRule="exact"/>
              <w:ind w:firstLine="549" w:firstLineChars="196"/>
              <w:rPr>
                <w:rFonts w:ascii="仿宋_GB2312" w:hAnsi="仿宋_GB2312" w:eastAsia="仿宋_GB2312" w:cs="仿宋_GB2312"/>
                <w:color w:val="FF0000"/>
                <w:sz w:val="28"/>
                <w:szCs w:val="28"/>
              </w:rPr>
            </w:pPr>
          </w:p>
        </w:tc>
      </w:tr>
    </w:tbl>
    <w:p>
      <w:bookmarkStart w:id="226" w:name="_Toc67038457"/>
      <w:bookmarkStart w:id="227" w:name="_Toc25892"/>
      <w:bookmarkStart w:id="228" w:name="_Toc1659"/>
    </w:p>
    <w:bookmarkEnd w:id="226"/>
    <w:p>
      <w:pPr>
        <w:widowControl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bookmarkStart w:id="229" w:name="_Toc8119"/>
      <w:bookmarkStart w:id="230" w:name="_Toc19449"/>
      <w:bookmarkStart w:id="231" w:name="_Toc14121"/>
      <w:bookmarkStart w:id="232" w:name="_Toc67038458"/>
      <w:bookmarkStart w:id="233" w:name="_Toc28073"/>
      <w:r>
        <w:rPr>
          <w:rStyle w:val="35"/>
          <w:rFonts w:hint="eastAsia" w:ascii="仿宋_GB2312" w:hAnsi="仿宋_GB2312" w:eastAsia="仿宋_GB2312" w:cs="仿宋_GB2312"/>
        </w:rPr>
        <w:t>4.推动特殊教育公平融合发展。</w:t>
      </w:r>
      <w:bookmarkEnd w:id="229"/>
      <w:r>
        <w:rPr>
          <w:rFonts w:hint="eastAsia" w:ascii="仿宋_GB2312" w:hAnsi="仿宋_GB2312" w:eastAsia="仿宋_GB2312" w:cs="仿宋_GB2312"/>
          <w:bCs/>
          <w:sz w:val="32"/>
          <w:szCs w:val="32"/>
        </w:rPr>
        <w:t>完善特殊教育体系，积极推进特殊教育学校、康复机构或医院开设学前教育部或幼儿园，扩大学前阶段特殊教育资源供给；逐年增加普通高中、中职学校招收残疾学生数量，增强残疾学生适应社会、融入社会的能力。健全残疾儿童少年招生入学工作机制，指导推动县级残疾人教育专家委员会成立，合理安置适龄儿童少年入学。改善特殊教育办学条件，推进各地标准化特殊教育学校、特殊教育资源中心和资源教室建设。到2025年，全市各级各类特殊教育普及水平全面提高，创建1-2所特殊教育示范学校、5-8所随班就读（随园保教）示范校（园），适龄残疾儿童少年义务教育入学率达95%以上，送教上门比例不超过15%。加强专业化特殊教育教师队伍建设。配齐配足特殊教育教研员和专兼职资源教师，多渠道、多层次组织培训，提升能力特殊教师队伍整体素质；拓宽特殊教师个人发展空间，激发教学教研活力。加强特殊教育保障。落实特殊教育相关工作经费，健全家庭经济困难学生、特殊儿童、留守儿童和随迁子女等特殊群体关爱与精准帮扶机制。</w:t>
      </w:r>
      <w:bookmarkEnd w:id="230"/>
      <w:bookmarkEnd w:id="231"/>
    </w:p>
    <w:bookmarkEnd w:id="227"/>
    <w:bookmarkEnd w:id="228"/>
    <w:bookmarkEnd w:id="232"/>
    <w:bookmarkEnd w:id="233"/>
    <w:p>
      <w:pPr>
        <w:widowControl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bookmarkStart w:id="234" w:name="_Toc32638"/>
      <w:bookmarkStart w:id="235" w:name="_Toc14920"/>
      <w:bookmarkStart w:id="236" w:name="_Toc18412"/>
      <w:r>
        <w:rPr>
          <w:rStyle w:val="35"/>
          <w:rFonts w:hint="eastAsia" w:ascii="仿宋_GB2312" w:hAnsi="仿宋_GB2312" w:eastAsia="仿宋_GB2312" w:cs="仿宋_GB2312"/>
        </w:rPr>
        <w:t>5.加强课程建设和教材管理。</w:t>
      </w:r>
      <w:bookmarkEnd w:id="234"/>
      <w:r>
        <w:rPr>
          <w:rFonts w:hint="eastAsia" w:ascii="仿宋_GB2312" w:hAnsi="仿宋_GB2312" w:eastAsia="仿宋_GB2312" w:cs="仿宋_GB2312"/>
          <w:sz w:val="32"/>
          <w:szCs w:val="32"/>
        </w:rPr>
        <w:t>积极推进“互联网+”课程计划，加快建设一批中小学特色课程实践基地，培育一批课程创新共同体，打造一批主题拓展课程群、创新教育课程群。推进中小学课程结构优化、内容扩充、形态重构、过程监测，实现国家课程综合化、学科课程层级化、地方课程主题化、校本课程特色化。加强中小学教材管理，完善地方课程和校本课程开发与实施指南，加强教材意识形态安全管理和校本课程监管。推进国家课程数字化教材规模化应用试点。深化课堂教学改革，加快建立以学生发展为本的新型教学关系，优化教师教学方式，提升教师教书育人能力，注重学生核心素养培养，在中小学普遍推行自主、合作、探究学习和启发、讨论、体验式教学，重视差异化教学和个别化指导。推行普通高中选课走班制等新型教学组织方式。</w:t>
      </w:r>
      <w:bookmarkEnd w:id="235"/>
      <w:bookmarkEnd w:id="236"/>
    </w:p>
    <w:p>
      <w:pPr>
        <w:spacing w:line="560" w:lineRule="exact"/>
        <w:ind w:firstLine="640" w:firstLineChars="200"/>
        <w:rPr>
          <w:rFonts w:hint="eastAsia" w:ascii="仿宋_GB2312" w:hAnsi="仿宋_GB2312" w:eastAsia="仿宋_GB2312" w:cs="仿宋_GB2312"/>
          <w:bCs/>
          <w:sz w:val="32"/>
        </w:rPr>
      </w:pPr>
      <w:bookmarkStart w:id="237" w:name="_Toc67038459"/>
      <w:bookmarkStart w:id="238" w:name="_Toc29860"/>
      <w:bookmarkStart w:id="239" w:name="_Toc23220"/>
      <w:bookmarkStart w:id="240" w:name="_Toc11160"/>
      <w:bookmarkStart w:id="241" w:name="_Toc3834"/>
      <w:r>
        <w:rPr>
          <w:rStyle w:val="35"/>
          <w:rFonts w:hint="eastAsia" w:ascii="仿宋_GB2312" w:hAnsi="仿宋_GB2312" w:eastAsia="仿宋_GB2312" w:cs="仿宋_GB2312"/>
        </w:rPr>
        <w:t>6.构建现代化教育装备体系</w:t>
      </w:r>
      <w:bookmarkEnd w:id="237"/>
      <w:bookmarkEnd w:id="238"/>
      <w:r>
        <w:rPr>
          <w:rStyle w:val="35"/>
          <w:rFonts w:hint="eastAsia" w:ascii="仿宋_GB2312" w:hAnsi="仿宋_GB2312" w:eastAsia="仿宋_GB2312" w:cs="仿宋_GB2312"/>
        </w:rPr>
        <w:t>。</w:t>
      </w:r>
      <w:bookmarkEnd w:id="239"/>
      <w:r>
        <w:rPr>
          <w:rFonts w:hint="eastAsia" w:ascii="仿宋_GB2312" w:hAnsi="仿宋_GB2312" w:eastAsia="仿宋_GB2312" w:cs="仿宋_GB2312"/>
          <w:sz w:val="32"/>
        </w:rPr>
        <w:t>加强智慧教室、创新实验室、学科功能教室、综合实践活动室等建设。建立以县（市、区）为主的教育装备使用与管理制</w:t>
      </w:r>
      <w:r>
        <w:rPr>
          <w:rFonts w:hint="eastAsia" w:ascii="仿宋_GB2312" w:hAnsi="仿宋_GB2312" w:eastAsia="仿宋_GB2312" w:cs="仿宋_GB2312"/>
          <w:bCs/>
          <w:sz w:val="32"/>
        </w:rPr>
        <w:t>度机制，健全实验室安全责任体系，完善实验安全管理制度。建立实验室建设和运行经费保障机制，加大对农村地区、民族地区、山区实验教学支持力度。加强实验室安全教育，将相关知识和要求纳入课程教学。建设教育装备信息化管理平台，提高教育装备管理精细化、智能化、科学化水平。强化中小学图书馆（室）建设，推进图书馆（室）信息化管理，构建“互联网+图书馆（室）+阅读活动”新形态。</w:t>
      </w:r>
      <w:bookmarkEnd w:id="240"/>
      <w:bookmarkEnd w:id="241"/>
    </w:p>
    <w:p>
      <w:pPr>
        <w:spacing w:line="560" w:lineRule="exact"/>
        <w:ind w:firstLine="640" w:firstLineChars="200"/>
        <w:rPr>
          <w:rFonts w:ascii="仿宋_GB2312" w:hAnsi="仿宋_GB2312" w:eastAsia="仿宋_GB2312" w:cs="仿宋_GB2312"/>
          <w:bCs/>
          <w:sz w:val="32"/>
        </w:rPr>
      </w:pPr>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6</w:t>
            </w:r>
            <w:r>
              <w:rPr>
                <w:rFonts w:ascii="Times New Roman" w:hAnsi="Times New Roman" w:eastAsia="仿宋_GB2312" w:cs="Times New Roman"/>
                <w:b/>
                <w:color w:val="000000"/>
                <w:sz w:val="28"/>
                <w:szCs w:val="28"/>
              </w:rPr>
              <w:t>：</w:t>
            </w:r>
            <w:r>
              <w:rPr>
                <w:rFonts w:hint="eastAsia" w:ascii="Times New Roman" w:hAnsi="Times New Roman" w:eastAsia="仿宋" w:cs="Times New Roman"/>
                <w:b/>
                <w:color w:val="000000"/>
                <w:sz w:val="28"/>
                <w:szCs w:val="28"/>
              </w:rPr>
              <w:t>教学质量提升行动计划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49" w:firstLineChars="196"/>
              <w:rPr>
                <w:rFonts w:ascii="Times New Roman" w:hAnsi="Times New Roman" w:eastAsia="仿宋_GB2312" w:cs="Times New Roman"/>
                <w:sz w:val="28"/>
                <w:szCs w:val="28"/>
              </w:rPr>
            </w:pPr>
          </w:p>
          <w:p>
            <w:pPr>
              <w:adjustRightInd w:val="0"/>
              <w:snapToGrid w:val="0"/>
              <w:spacing w:line="360" w:lineRule="exact"/>
              <w:ind w:firstLine="549" w:firstLineChars="196"/>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sz w:val="28"/>
                <w:szCs w:val="28"/>
              </w:rPr>
              <w:t>到2025年，全市中小学逐步形成“标准引领、管理规范、内涵发展、富有特色”的良好局面，校际主要教学质量考核指标差距逐步缩小，国家义务教育质量监测主要指标进步明显，义务教育规范化学校、示范性高中的学业质量和综合素质评价达标，</w:t>
            </w:r>
            <w:r>
              <w:rPr>
                <w:rFonts w:hint="eastAsia" w:ascii="Times New Roman" w:hAnsi="Times New Roman" w:eastAsia="仿宋_GB2312" w:cs="Times New Roman"/>
                <w:sz w:val="28"/>
                <w:szCs w:val="28"/>
                <w:lang w:eastAsia="zh-CN"/>
              </w:rPr>
              <w:t>高考成绩逐年提升</w:t>
            </w:r>
            <w:r>
              <w:rPr>
                <w:rFonts w:hint="eastAsia" w:ascii="Times New Roman" w:hAnsi="Times New Roman" w:eastAsia="仿宋_GB2312" w:cs="Times New Roman"/>
                <w:sz w:val="28"/>
                <w:szCs w:val="28"/>
              </w:rPr>
              <w:t>，全市基础教育发展主要指标力争进入粤东西北前列</w:t>
            </w:r>
            <w:r>
              <w:rPr>
                <w:rFonts w:hint="eastAsia" w:ascii="Times New Roman" w:hAnsi="Times New Roman" w:eastAsia="仿宋_GB2312" w:cs="Times New Roman"/>
                <w:color w:val="000000"/>
                <w:sz w:val="28"/>
                <w:szCs w:val="28"/>
              </w:rPr>
              <w:t>。</w:t>
            </w:r>
          </w:p>
          <w:p>
            <w:pPr>
              <w:adjustRightInd w:val="0"/>
              <w:snapToGrid w:val="0"/>
              <w:spacing w:line="360" w:lineRule="exact"/>
              <w:ind w:firstLine="549" w:firstLineChars="196"/>
              <w:rPr>
                <w:rFonts w:hint="eastAsia" w:ascii="Times New Roman" w:hAnsi="Times New Roman" w:eastAsia="仿宋_GB2312" w:cs="Times New Roman"/>
                <w:color w:val="000000"/>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p>
            <w:pPr>
              <w:adjustRightInd w:val="0"/>
              <w:snapToGrid w:val="0"/>
              <w:spacing w:line="360" w:lineRule="exact"/>
              <w:ind w:firstLine="549" w:firstLineChars="196"/>
              <w:rPr>
                <w:rFonts w:ascii="Times New Roman" w:hAnsi="Times New Roman" w:eastAsia="仿宋_GB2312" w:cs="Times New Roman"/>
                <w:color w:val="000000"/>
                <w:sz w:val="28"/>
                <w:szCs w:val="28"/>
              </w:rPr>
            </w:pPr>
          </w:p>
        </w:tc>
      </w:tr>
    </w:tbl>
    <w:p>
      <w:pPr>
        <w:spacing w:line="560" w:lineRule="exact"/>
        <w:ind w:firstLine="640" w:firstLineChars="200"/>
        <w:rPr>
          <w:rFonts w:ascii="仿宋_GB2312" w:hAnsi="仿宋_GB2312" w:eastAsia="仿宋_GB2312" w:cs="仿宋_GB2312"/>
          <w:color w:val="FF0000"/>
          <w:sz w:val="32"/>
          <w:szCs w:val="32"/>
        </w:rPr>
      </w:pPr>
    </w:p>
    <w:p>
      <w:pPr>
        <w:pStyle w:val="3"/>
        <w:ind w:firstLine="640"/>
      </w:pPr>
      <w:bookmarkStart w:id="242" w:name="_Toc31394"/>
      <w:bookmarkStart w:id="243" w:name="_Toc13595"/>
      <w:bookmarkStart w:id="244" w:name="_Toc14393"/>
      <w:bookmarkStart w:id="245" w:name="_Toc11104"/>
      <w:bookmarkStart w:id="246" w:name="_Toc63619548"/>
      <w:bookmarkStart w:id="247" w:name="_Toc23904"/>
      <w:bookmarkStart w:id="248" w:name="_Toc23151"/>
      <w:r>
        <w:rPr>
          <w:rFonts w:hint="eastAsia"/>
        </w:rPr>
        <w:t>（三）深入推进职业教育扩容提质强服务</w:t>
      </w:r>
      <w:bookmarkEnd w:id="242"/>
      <w:bookmarkEnd w:id="243"/>
      <w:bookmarkEnd w:id="244"/>
      <w:bookmarkEnd w:id="245"/>
      <w:r>
        <w:rPr>
          <w:rFonts w:hint="eastAsia"/>
        </w:rPr>
        <w:t xml:space="preserve"> </w:t>
      </w:r>
    </w:p>
    <w:p>
      <w:pPr>
        <w:spacing w:line="560" w:lineRule="exact"/>
        <w:ind w:firstLine="640" w:firstLineChars="200"/>
        <w:rPr>
          <w:rFonts w:hint="eastAsia" w:ascii="仿宋_GB2312" w:hAnsi="仿宋_GB2312" w:eastAsia="仿宋_GB2312" w:cs="仿宋_GB2312"/>
          <w:sz w:val="32"/>
          <w:szCs w:val="32"/>
        </w:rPr>
      </w:pPr>
      <w:bookmarkStart w:id="249" w:name="_Toc4167"/>
      <w:bookmarkStart w:id="250" w:name="_Toc63619530"/>
      <w:bookmarkStart w:id="251" w:name="_Toc67038461"/>
      <w:bookmarkStart w:id="252" w:name="_Toc2471"/>
      <w:bookmarkStart w:id="253" w:name="_Toc16883"/>
      <w:bookmarkStart w:id="254" w:name="_Toc23718"/>
      <w:r>
        <w:rPr>
          <w:rStyle w:val="35"/>
          <w:rFonts w:hint="eastAsia" w:ascii="仿宋_GB2312" w:hAnsi="仿宋_GB2312" w:eastAsia="仿宋_GB2312" w:cs="仿宋_GB2312"/>
        </w:rPr>
        <w:t>1.</w:t>
      </w:r>
      <w:bookmarkEnd w:id="249"/>
      <w:bookmarkEnd w:id="250"/>
      <w:r>
        <w:rPr>
          <w:rStyle w:val="35"/>
          <w:rFonts w:hint="eastAsia" w:ascii="仿宋_GB2312" w:hAnsi="仿宋_GB2312" w:eastAsia="仿宋_GB2312" w:cs="仿宋_GB2312"/>
        </w:rPr>
        <w:t>扩大优质职业教育资源供给</w:t>
      </w:r>
      <w:bookmarkEnd w:id="251"/>
      <w:r>
        <w:rPr>
          <w:rStyle w:val="35"/>
          <w:rFonts w:hint="eastAsia" w:ascii="仿宋_GB2312" w:hAnsi="仿宋_GB2312" w:eastAsia="仿宋_GB2312" w:cs="仿宋_GB2312"/>
        </w:rPr>
        <w:t>。</w:t>
      </w:r>
      <w:bookmarkEnd w:id="252"/>
      <w:bookmarkEnd w:id="253"/>
      <w:bookmarkEnd w:id="254"/>
      <w:r>
        <w:rPr>
          <w:rFonts w:hint="eastAsia" w:ascii="仿宋_GB2312" w:hAnsi="仿宋_GB2312" w:eastAsia="仿宋_GB2312" w:cs="仿宋_GB2312"/>
          <w:bCs/>
          <w:sz w:val="32"/>
          <w:szCs w:val="32"/>
        </w:rPr>
        <w:t>压实职业教育发展主体责任，建立职业教育联席会议制度，定期研究解决职业教育改革发展中的重大问题。</w:t>
      </w:r>
      <w:r>
        <w:rPr>
          <w:rFonts w:hint="eastAsia" w:ascii="仿宋_GB2312" w:hAnsi="仿宋_GB2312" w:eastAsia="仿宋_GB2312" w:cs="仿宋_GB2312"/>
          <w:sz w:val="32"/>
          <w:szCs w:val="32"/>
        </w:rPr>
        <w:t>落实中等职业技术学校生均拨款制度，加大经费投入力度，改善办学条件，提高保障水平。推动清远市技师学院纳入高等职业学校序列。推进中等职业学校布局调整，优化专业布局结构，加快建设高水平中职学校。按照专业差异化特色化发展原则，围绕生物制药、智能制造、汽车零部件、大数据、新材料、节能环保等支柱产业和战略性新兴产业，搭建产业人才数据平台，研制产教对接谱系图，促进专业链和产业链的有机融合。市中心区域重点建设智能制造、高端装备、加工制造、教育等专业群；北部中职学校、职教中心重点围绕财经、文秘、护理等具有地方特色的文化类专业群建设。</w:t>
      </w:r>
    </w:p>
    <w:p>
      <w:pPr>
        <w:spacing w:line="560" w:lineRule="exact"/>
        <w:ind w:firstLine="640" w:firstLineChars="200"/>
        <w:rPr>
          <w:rFonts w:hint="eastAsia" w:ascii="仿宋_GB2312" w:hAnsi="仿宋_GB2312" w:eastAsia="仿宋_GB2312" w:cs="仿宋_GB2312"/>
          <w:sz w:val="32"/>
          <w:szCs w:val="32"/>
        </w:rPr>
      </w:pPr>
      <w:bookmarkStart w:id="255" w:name="_Toc63619531"/>
      <w:bookmarkStart w:id="256" w:name="_Toc21540"/>
      <w:bookmarkStart w:id="257" w:name="_Toc67038462"/>
      <w:bookmarkStart w:id="258" w:name="_Toc16486"/>
      <w:bookmarkStart w:id="259" w:name="_Toc21074"/>
      <w:bookmarkStart w:id="260" w:name="_Toc23668"/>
      <w:bookmarkStart w:id="261" w:name="_Toc14469"/>
      <w:r>
        <w:rPr>
          <w:rStyle w:val="35"/>
          <w:rFonts w:hint="eastAsia" w:ascii="仿宋_GB2312" w:hAnsi="仿宋_GB2312" w:eastAsia="仿宋_GB2312" w:cs="仿宋_GB2312"/>
        </w:rPr>
        <w:t>2.构建现代职业教育体系“立交桥”</w:t>
      </w:r>
      <w:bookmarkEnd w:id="255"/>
      <w:bookmarkEnd w:id="256"/>
      <w:r>
        <w:rPr>
          <w:rStyle w:val="35"/>
          <w:rFonts w:hint="eastAsia" w:ascii="仿宋_GB2312" w:hAnsi="仿宋_GB2312" w:eastAsia="仿宋_GB2312" w:cs="仿宋_GB2312"/>
        </w:rPr>
        <w:t>，提升人才培养质量</w:t>
      </w:r>
      <w:bookmarkEnd w:id="257"/>
      <w:r>
        <w:rPr>
          <w:rStyle w:val="35"/>
          <w:rFonts w:hint="eastAsia" w:ascii="仿宋_GB2312" w:hAnsi="仿宋_GB2312" w:eastAsia="仿宋_GB2312" w:cs="仿宋_GB2312"/>
        </w:rPr>
        <w:t>。</w:t>
      </w:r>
      <w:bookmarkEnd w:id="258"/>
      <w:r>
        <w:rPr>
          <w:rFonts w:hint="eastAsia" w:ascii="仿宋_GB2312" w:hAnsi="仿宋_GB2312" w:eastAsia="仿宋_GB2312" w:cs="仿宋_GB2312"/>
          <w:sz w:val="32"/>
          <w:szCs w:val="32"/>
        </w:rPr>
        <w:t>推进中高本贯通人才培养。大力推进中职、高职、本科院校衔接人才培养模式改革。推进中职学校与省职教城或广清帮扶的高职院校实现中高职三二分段衔接或在校内建立高职专业学院，打通职业人才培养通道，搭建中职学生成才“立交桥”。推进学历教育与职业培训协同并进，助力乡村振兴。落实推进《清远市职业技能提升行动实施方案》，健全完善各级各类培训机构资质认证，规范提高培训质量。深入实施“粤菜师傅”“南粤家政”“广东技工”“乡村工匠”工程，大力培养新型职业农民与新生代产业工人。发挥省职教城人力智力资源优势服务乡村发展，加强省职教城创新创业教育资源融合发展，培养引导优秀的大学生回乡创新创业，大力发展乡村产业。整合资源，打造一批技术技能培训基地，组建技术技能培训师资团队，开发远程互联网培训平台，围绕重点人群重点培训项目开发培训课程，健全完善考评机制。深入推进1+X证书试点。</w:t>
      </w:r>
      <w:bookmarkEnd w:id="259"/>
      <w:bookmarkEnd w:id="260"/>
      <w:bookmarkEnd w:id="261"/>
      <w:bookmarkStart w:id="262" w:name="_Toc63619533"/>
      <w:bookmarkStart w:id="263" w:name="_Toc16408"/>
      <w:bookmarkStart w:id="264" w:name="_Toc67038463"/>
    </w:p>
    <w:p>
      <w:pPr>
        <w:spacing w:line="560" w:lineRule="exact"/>
        <w:ind w:firstLine="640" w:firstLineChars="200"/>
        <w:rPr>
          <w:rFonts w:hint="eastAsia" w:ascii="仿宋_GB2312" w:hAnsi="仿宋_GB2312" w:eastAsia="仿宋_GB2312" w:cs="仿宋_GB2312"/>
          <w:sz w:val="32"/>
          <w:szCs w:val="32"/>
        </w:rPr>
      </w:pPr>
      <w:bookmarkStart w:id="265" w:name="_Toc18349"/>
      <w:bookmarkStart w:id="266" w:name="_Toc7873"/>
      <w:bookmarkStart w:id="267" w:name="_Toc18974"/>
      <w:r>
        <w:rPr>
          <w:rStyle w:val="35"/>
          <w:rFonts w:hint="eastAsia" w:ascii="仿宋_GB2312" w:hAnsi="仿宋_GB2312" w:eastAsia="仿宋_GB2312" w:cs="仿宋_GB2312"/>
        </w:rPr>
        <w:t>3.深化产教融合</w:t>
      </w:r>
      <w:bookmarkEnd w:id="262"/>
      <w:bookmarkEnd w:id="263"/>
      <w:r>
        <w:rPr>
          <w:rStyle w:val="35"/>
          <w:rFonts w:hint="eastAsia" w:ascii="仿宋_GB2312" w:hAnsi="仿宋_GB2312" w:eastAsia="仿宋_GB2312" w:cs="仿宋_GB2312"/>
        </w:rPr>
        <w:t>与校企合作</w:t>
      </w:r>
      <w:bookmarkEnd w:id="264"/>
      <w:r>
        <w:rPr>
          <w:rStyle w:val="35"/>
          <w:rFonts w:hint="eastAsia" w:ascii="仿宋_GB2312" w:hAnsi="仿宋_GB2312" w:eastAsia="仿宋_GB2312" w:cs="仿宋_GB2312"/>
        </w:rPr>
        <w:t>。</w:t>
      </w:r>
      <w:bookmarkEnd w:id="265"/>
      <w:bookmarkEnd w:id="266"/>
      <w:bookmarkEnd w:id="267"/>
      <w:r>
        <w:rPr>
          <w:rFonts w:hint="eastAsia" w:ascii="仿宋_GB2312" w:hAnsi="仿宋_GB2312" w:eastAsia="仿宋_GB2312" w:cs="仿宋_GB2312"/>
          <w:bCs/>
          <w:sz w:val="32"/>
          <w:szCs w:val="32"/>
        </w:rPr>
        <w:t>深化校企合作构筑命运共同体。</w:t>
      </w:r>
      <w:r>
        <w:rPr>
          <w:rFonts w:hint="eastAsia" w:ascii="仿宋_GB2312" w:hAnsi="仿宋_GB2312" w:eastAsia="仿宋_GB2312" w:cs="仿宋_GB2312"/>
          <w:sz w:val="32"/>
          <w:szCs w:val="32"/>
        </w:rPr>
        <w:t>搭建企业行业高校科技需求服务对接数据平台，成立一批“技能大师工作室”“教师企业实践流动站”，畅通校企双方人员、技术、管理等要素流动，推进校企协同创新发展。努力建成基于清远市支柱产业和战略性新兴产业的人才需求平台和科技需求服务平台。探索构建“校校-校地-校企”三维互动，“创业教育、项目实训、创业实践、企业孵化”四位一体，“思维融合、通创融合、专创融合、科技融合、产创融合”五创融合的创新创业人才培养“清远职教”新模式。</w:t>
      </w:r>
    </w:p>
    <w:p>
      <w:pPr>
        <w:spacing w:line="560" w:lineRule="exact"/>
        <w:ind w:firstLine="640" w:firstLineChars="200"/>
        <w:rPr>
          <w:rFonts w:hint="eastAsia" w:ascii="仿宋_GB2312" w:hAnsi="仿宋_GB2312" w:eastAsia="仿宋_GB2312" w:cs="仿宋_GB2312"/>
          <w:sz w:val="32"/>
          <w:szCs w:val="32"/>
        </w:rPr>
      </w:pPr>
      <w:bookmarkStart w:id="268" w:name="_Toc31490"/>
      <w:bookmarkStart w:id="269" w:name="_Toc27952"/>
      <w:bookmarkStart w:id="270" w:name="_Toc7253"/>
      <w:bookmarkStart w:id="271" w:name="_Toc28223"/>
      <w:r>
        <w:rPr>
          <w:rStyle w:val="35"/>
          <w:rFonts w:hint="eastAsia" w:ascii="仿宋_GB2312" w:hAnsi="仿宋_GB2312" w:eastAsia="仿宋_GB2312" w:cs="仿宋_GB2312"/>
        </w:rPr>
        <w:t>4.全面推行现代学徒制。</w:t>
      </w:r>
      <w:bookmarkEnd w:id="268"/>
      <w:r>
        <w:rPr>
          <w:rFonts w:hint="eastAsia" w:ascii="仿宋_GB2312" w:hAnsi="仿宋_GB2312" w:eastAsia="仿宋_GB2312" w:cs="仿宋_GB2312"/>
          <w:sz w:val="32"/>
          <w:szCs w:val="32"/>
        </w:rPr>
        <w:t>健全现代学徒制统筹机制和运行机制,加快完善基于现代学徒制培养全过程的制度体系。完善促进职业教育校企合作办学的相关政策，引导企业与院校在人才培养方案、课程内容开发、教学模式等方面开展深度合作，参与现代学徒制，增强育人合力，提高人才培养质量。学徒培养规模力争达到职业院校在校生的5%，打造全国现代学徒制人才培养示范样板。推进建设产教融合型企业和高水平实训基地。健全企业依托职业学校开展产业核心技术攻关的产教融合体制机制，推进产教融合型企业认定工作。围绕关键核心技术，推进校企深度合作，推动人才培养与人员互相流动学习，推进公共资源共享共建。</w:t>
      </w:r>
      <w:bookmarkEnd w:id="269"/>
      <w:bookmarkEnd w:id="270"/>
      <w:bookmarkEnd w:id="271"/>
      <w:bookmarkStart w:id="272" w:name="_Toc63619534"/>
    </w:p>
    <w:bookmarkEnd w:id="272"/>
    <w:p>
      <w:pPr>
        <w:spacing w:line="560" w:lineRule="exact"/>
        <w:ind w:firstLine="640" w:firstLineChars="200"/>
        <w:rPr>
          <w:rFonts w:hint="eastAsia" w:ascii="仿宋_GB2312" w:hAnsi="仿宋_GB2312" w:eastAsia="仿宋_GB2312" w:cs="仿宋_GB2312"/>
          <w:sz w:val="32"/>
          <w:szCs w:val="32"/>
        </w:rPr>
      </w:pPr>
      <w:bookmarkStart w:id="273" w:name="_Toc30560"/>
      <w:bookmarkStart w:id="274" w:name="_Toc10853"/>
      <w:bookmarkStart w:id="275" w:name="_Toc22480"/>
      <w:bookmarkStart w:id="276" w:name="_Toc6421"/>
      <w:r>
        <w:rPr>
          <w:rStyle w:val="35"/>
          <w:rFonts w:hint="eastAsia" w:ascii="仿宋_GB2312" w:hAnsi="仿宋_GB2312" w:eastAsia="仿宋_GB2312" w:cs="仿宋_GB2312"/>
        </w:rPr>
        <w:t>5.深化“放管服”改革，激发职业教育活力。</w:t>
      </w:r>
      <w:bookmarkEnd w:id="273"/>
      <w:r>
        <w:rPr>
          <w:rFonts w:hint="eastAsia" w:ascii="仿宋_GB2312" w:hAnsi="仿宋_GB2312" w:eastAsia="仿宋_GB2312" w:cs="仿宋_GB2312"/>
          <w:sz w:val="32"/>
          <w:szCs w:val="32"/>
        </w:rPr>
        <w:t>进一步深化办学体制改革，健全以市级为主的中等职业教育管理体制，推进政府职能向“管理与服务”转变。鼓励校企双方充分利用各自资源参与兴办职业教育，充分调动企业行业参与职业教育积极性，开拓政校行企多元办学格局。</w:t>
      </w:r>
      <w:bookmarkEnd w:id="274"/>
      <w:bookmarkEnd w:id="275"/>
      <w:bookmarkEnd w:id="276"/>
      <w:bookmarkStart w:id="277" w:name="_Toc11929"/>
      <w:bookmarkStart w:id="278" w:name="_Toc17335"/>
    </w:p>
    <w:p>
      <w:pPr>
        <w:spacing w:line="560" w:lineRule="exact"/>
        <w:ind w:firstLine="640" w:firstLineChars="200"/>
        <w:rPr>
          <w:rFonts w:hint="eastAsia" w:ascii="仿宋_GB2312" w:hAnsi="仿宋_GB2312" w:eastAsia="仿宋_GB2312" w:cs="仿宋_GB2312"/>
          <w:sz w:val="32"/>
          <w:szCs w:val="32"/>
        </w:rPr>
      </w:pPr>
      <w:bookmarkStart w:id="279" w:name="_Toc26001"/>
      <w:r>
        <w:rPr>
          <w:rFonts w:hint="eastAsia" w:ascii="仿宋_GB2312" w:hAnsi="仿宋_GB2312" w:eastAsia="仿宋_GB2312" w:cs="仿宋_GB2312"/>
          <w:sz w:val="32"/>
          <w:szCs w:val="32"/>
        </w:rPr>
        <w:t>健全中高职招生机制，探索建立中职学校学生学业水平考试制度。完善三二分段、五年一贯制中高职贯通培养模式。积极推进职业院校与企业协同开展现代学徒制招生培养模式试点。健全“文化素质+职业技能”的自主招生考试制度，注重考察学生的职业技能水平，拓宽学生入学的方式。探索中高职衔接招生模式改革。</w:t>
      </w:r>
      <w:bookmarkEnd w:id="277"/>
      <w:bookmarkEnd w:id="278"/>
      <w:bookmarkEnd w:id="279"/>
    </w:p>
    <w:p>
      <w:pPr>
        <w:spacing w:line="560" w:lineRule="exact"/>
        <w:ind w:firstLine="640" w:firstLineChars="200"/>
        <w:rPr>
          <w:rFonts w:hint="eastAsia" w:ascii="仿宋_GB2312" w:hAnsi="仿宋_GB2312" w:eastAsia="仿宋_GB2312" w:cs="仿宋_GB2312"/>
          <w:sz w:val="32"/>
          <w:szCs w:val="32"/>
        </w:rPr>
      </w:pPr>
      <w:bookmarkStart w:id="280" w:name="_Toc10647"/>
      <w:bookmarkStart w:id="281" w:name="_Toc63619536"/>
      <w:bookmarkStart w:id="282" w:name="_Toc17973"/>
      <w:bookmarkStart w:id="283" w:name="_Toc1261"/>
      <w:bookmarkStart w:id="284" w:name="_Toc3673"/>
      <w:r>
        <w:rPr>
          <w:rStyle w:val="35"/>
          <w:rFonts w:hint="eastAsia" w:ascii="仿宋_GB2312" w:hAnsi="仿宋_GB2312" w:eastAsia="仿宋_GB2312" w:cs="仿宋_GB2312"/>
        </w:rPr>
        <w:t>6.健全完善职业教育制度标准。</w:t>
      </w:r>
      <w:bookmarkEnd w:id="280"/>
      <w:r>
        <w:rPr>
          <w:rFonts w:hint="eastAsia" w:ascii="仿宋_GB2312" w:hAnsi="仿宋_GB2312" w:eastAsia="仿宋_GB2312" w:cs="仿宋_GB2312"/>
          <w:sz w:val="32"/>
          <w:szCs w:val="32"/>
        </w:rPr>
        <w:t>围绕清远市支柱产业和战略性新兴产业以及服务粤港澳大湾区建设需求，积极发挥政校行企多元主体作用。健全完善推动职业院校师生参加技能大赛的保障制度。深入推动职业院校教师、教材、教法改革。推动信息技术与职业教育深度融合。</w:t>
      </w:r>
      <w:bookmarkEnd w:id="281"/>
      <w:bookmarkEnd w:id="282"/>
      <w:bookmarkEnd w:id="283"/>
      <w:bookmarkEnd w:id="284"/>
    </w:p>
    <w:p/>
    <w:tbl>
      <w:tblPr>
        <w:tblStyle w:val="24"/>
        <w:tblW w:w="8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8" w:type="dxa"/>
            <w:vAlign w:val="top"/>
          </w:tcPr>
          <w:p>
            <w:pPr>
              <w:jc w:val="center"/>
              <w:rPr>
                <w:rFonts w:ascii="仿宋" w:hAnsi="仿宋" w:eastAsia="仿宋"/>
                <w:b/>
                <w:bCs/>
                <w:sz w:val="28"/>
                <w:szCs w:val="28"/>
              </w:rPr>
            </w:pPr>
            <w:r>
              <w:rPr>
                <w:rFonts w:ascii="Times New Roman" w:hAnsi="Times New Roman" w:eastAsia="仿宋_GB2312" w:cs="Times New Roman"/>
                <w:b/>
                <w:bCs/>
                <w:sz w:val="28"/>
                <w:szCs w:val="28"/>
              </w:rPr>
              <w:t>专栏</w:t>
            </w:r>
            <w:r>
              <w:rPr>
                <w:rFonts w:hint="eastAsia" w:ascii="Times New Roman" w:hAnsi="Times New Roman" w:eastAsia="仿宋_GB2312" w:cs="Times New Roman"/>
                <w:b/>
                <w:bCs/>
                <w:sz w:val="28"/>
                <w:szCs w:val="28"/>
              </w:rPr>
              <w:t>7</w:t>
            </w:r>
            <w:r>
              <w:rPr>
                <w:rFonts w:ascii="Times New Roman" w:hAnsi="Times New Roman" w:eastAsia="仿宋_GB2312" w:cs="Times New Roman"/>
                <w:b/>
                <w:bCs/>
                <w:sz w:val="28"/>
                <w:szCs w:val="28"/>
              </w:rPr>
              <w:t>：</w:t>
            </w:r>
            <w:r>
              <w:rPr>
                <w:rFonts w:hint="eastAsia" w:ascii="仿宋" w:hAnsi="仿宋" w:eastAsia="仿宋"/>
                <w:b/>
                <w:bCs/>
                <w:sz w:val="28"/>
                <w:szCs w:val="28"/>
              </w:rPr>
              <w:t>职业教育提质培优行动计划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8" w:type="dxa"/>
            <w:vAlign w:val="top"/>
          </w:tcPr>
          <w:p>
            <w:pPr>
              <w:widowControl/>
              <w:wordWrap/>
              <w:adjustRightInd/>
              <w:snapToGrid/>
              <w:spacing w:line="360" w:lineRule="exact"/>
              <w:ind w:left="0" w:leftChars="0" w:right="0" w:firstLine="560" w:firstLineChars="200"/>
              <w:jc w:val="both"/>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到2025年，全市中职学校数量整合到10所左右，引进5所左右省属优质高职院校和1-2所应用型本科高校，建设若干个本科层次职业教育试点。加快推进广东职业教育城建设，在校生总规模达到12万人。</w:t>
            </w:r>
          </w:p>
          <w:p>
            <w:pPr>
              <w:widowControl/>
              <w:wordWrap/>
              <w:adjustRightInd/>
              <w:snapToGrid/>
              <w:spacing w:line="360" w:lineRule="exact"/>
              <w:ind w:left="0" w:leftChars="0" w:right="0" w:firstLine="560" w:firstLineChars="200"/>
              <w:jc w:val="both"/>
              <w:textAlignment w:val="baseline"/>
              <w:outlineLvl w:val="9"/>
              <w:rPr>
                <w:rFonts w:hint="eastAsia" w:ascii="仿宋_GB2312" w:hAnsi="仿宋_GB2312" w:eastAsia="仿宋_GB2312" w:cs="仿宋_GB2312"/>
                <w:sz w:val="28"/>
                <w:szCs w:val="28"/>
              </w:rPr>
            </w:pPr>
            <w:bookmarkStart w:id="285" w:name="_Toc19364"/>
            <w:bookmarkStart w:id="286" w:name="_Toc67038465"/>
            <w:bookmarkStart w:id="287" w:name="_Toc21180"/>
            <w:bookmarkStart w:id="288" w:name="_Toc18872"/>
            <w:r>
              <w:rPr>
                <w:rFonts w:hint="eastAsia" w:ascii="仿宋_GB2312" w:hAnsi="仿宋_GB2312" w:eastAsia="仿宋_GB2312" w:cs="仿宋_GB2312"/>
                <w:sz w:val="28"/>
                <w:szCs w:val="28"/>
              </w:rPr>
              <w:t>推进职业院校“双高”建设，建设10所（个）左右省级高水平职业院校和30-50个高水平专业群服务清远和“双区”经济社会发展。建设4所左右省级高水平中职学校，建成10个以上“双精准”示范专业。建设10个左右示范性职业教育集团或产教融合联盟。建设一批区域综合性高水平产教融合实训基地。</w:t>
            </w:r>
            <w:bookmarkEnd w:id="285"/>
            <w:bookmarkEnd w:id="286"/>
            <w:bookmarkEnd w:id="287"/>
            <w:bookmarkEnd w:id="288"/>
          </w:p>
          <w:p>
            <w:pPr>
              <w:widowControl/>
              <w:wordWrap/>
              <w:adjustRightInd/>
              <w:snapToGrid/>
              <w:spacing w:line="360" w:lineRule="exact"/>
              <w:ind w:left="0" w:leftChars="0" w:right="0" w:firstLine="560" w:firstLineChars="200"/>
              <w:jc w:val="both"/>
              <w:textAlignment w:val="baseline"/>
              <w:outlineLvl w:val="9"/>
              <w:rPr>
                <w:rFonts w:ascii="Times New Roman" w:hAnsi="Times New Roman" w:eastAsia="仿宋_GB2312" w:cs="Times New Roman"/>
                <w:sz w:val="28"/>
                <w:szCs w:val="28"/>
              </w:rPr>
            </w:pPr>
            <w:r>
              <w:rPr>
                <w:rFonts w:hint="eastAsia" w:ascii="仿宋_GB2312" w:hAnsi="仿宋_GB2312" w:eastAsia="仿宋_GB2312" w:cs="仿宋_GB2312"/>
                <w:sz w:val="28"/>
                <w:szCs w:val="28"/>
              </w:rPr>
              <w:t>深入推进“粤菜师傅”“南粤家政”“广东技工”“乡村工匠”工程。加快推进1+X证书试点。建设一批技术技能培训基地和平台，打造一批技术技能培训团队。建设30个以上1+X证书试点</w:t>
            </w:r>
            <w:r>
              <w:rPr>
                <w:rFonts w:ascii="Times New Roman" w:hAnsi="Times New Roman" w:eastAsia="仿宋_GB2312" w:cs="Times New Roman"/>
                <w:sz w:val="28"/>
                <w:szCs w:val="28"/>
              </w:rPr>
              <w:t>。</w:t>
            </w:r>
          </w:p>
          <w:p>
            <w:pPr>
              <w:widowControl/>
              <w:wordWrap/>
              <w:adjustRightInd/>
              <w:snapToGrid/>
              <w:spacing w:line="360" w:lineRule="exact"/>
              <w:ind w:left="0" w:leftChars="0" w:right="0" w:firstLine="560" w:firstLineChars="200"/>
              <w:jc w:val="both"/>
              <w:textAlignment w:val="baseline"/>
              <w:outlineLvl w:val="9"/>
              <w:rPr>
                <w:rFonts w:ascii="Times New Roman" w:hAnsi="Times New Roman" w:eastAsia="仿宋_GB2312" w:cs="Times New Roman"/>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p>
            <w:pPr>
              <w:widowControl/>
              <w:wordWrap/>
              <w:adjustRightInd/>
              <w:snapToGrid/>
              <w:spacing w:line="360" w:lineRule="exact"/>
              <w:ind w:left="0" w:leftChars="0" w:right="0" w:firstLine="560" w:firstLineChars="200"/>
              <w:jc w:val="both"/>
              <w:textAlignment w:val="baseline"/>
              <w:outlineLvl w:val="9"/>
              <w:rPr>
                <w:rFonts w:ascii="Times New Roman" w:hAnsi="Times New Roman" w:eastAsia="仿宋_GB2312" w:cs="Times New Roman"/>
                <w:sz w:val="28"/>
                <w:szCs w:val="28"/>
              </w:rPr>
            </w:pPr>
          </w:p>
        </w:tc>
      </w:tr>
    </w:tbl>
    <w:p>
      <w:pPr>
        <w:rPr>
          <w:rFonts w:ascii="Times New Roman" w:hAnsi="Times New Roman" w:cs="Times New Roman"/>
          <w:color w:val="000000"/>
        </w:rPr>
      </w:pPr>
    </w:p>
    <w:bookmarkEnd w:id="246"/>
    <w:bookmarkEnd w:id="247"/>
    <w:bookmarkEnd w:id="248"/>
    <w:p>
      <w:pPr>
        <w:pStyle w:val="3"/>
        <w:ind w:firstLine="640"/>
        <w:rPr>
          <w:rFonts w:ascii="楷体_GB2312" w:hAnsi="楷体_GB2312" w:cs="楷体_GB2312"/>
          <w:b/>
          <w:bCs w:val="0"/>
          <w:color w:val="FF0000"/>
          <w:highlight w:val="yellow"/>
        </w:rPr>
      </w:pPr>
      <w:bookmarkStart w:id="289" w:name="_Toc67038466"/>
      <w:bookmarkStart w:id="290" w:name="_Toc27581"/>
      <w:bookmarkStart w:id="291" w:name="_Toc5228"/>
      <w:bookmarkStart w:id="292" w:name="_Toc5412"/>
      <w:bookmarkStart w:id="293" w:name="_Toc24495"/>
      <w:r>
        <w:rPr>
          <w:rFonts w:hint="eastAsia"/>
        </w:rPr>
        <w:t>（四）健全开放多元的终身教育体系</w:t>
      </w:r>
      <w:bookmarkEnd w:id="289"/>
      <w:bookmarkEnd w:id="290"/>
      <w:bookmarkEnd w:id="291"/>
      <w:bookmarkEnd w:id="292"/>
      <w:bookmarkEnd w:id="293"/>
    </w:p>
    <w:p>
      <w:pPr>
        <w:spacing w:line="560" w:lineRule="exact"/>
        <w:ind w:firstLine="640" w:firstLineChars="200"/>
        <w:rPr>
          <w:rFonts w:hint="eastAsia" w:ascii="仿宋_GB2312" w:hAnsi="仿宋_GB2312" w:eastAsia="仿宋_GB2312" w:cs="仿宋_GB2312"/>
          <w:sz w:val="32"/>
          <w:szCs w:val="32"/>
        </w:rPr>
      </w:pPr>
      <w:bookmarkStart w:id="294" w:name="_Toc67038467"/>
      <w:bookmarkStart w:id="295" w:name="_Toc20256"/>
      <w:bookmarkStart w:id="296" w:name="_Toc31410"/>
      <w:bookmarkStart w:id="297" w:name="_Toc28598"/>
      <w:bookmarkStart w:id="298" w:name="_Toc7737"/>
      <w:r>
        <w:rPr>
          <w:rStyle w:val="35"/>
          <w:rFonts w:hint="eastAsia" w:ascii="仿宋_GB2312" w:hAnsi="仿宋_GB2312" w:eastAsia="仿宋_GB2312" w:cs="仿宋_GB2312"/>
        </w:rPr>
        <w:t>1.优化终身教育体系</w:t>
      </w:r>
      <w:bookmarkEnd w:id="294"/>
      <w:r>
        <w:rPr>
          <w:rStyle w:val="35"/>
          <w:rFonts w:hint="eastAsia" w:ascii="仿宋_GB2312" w:hAnsi="仿宋_GB2312" w:eastAsia="仿宋_GB2312" w:cs="仿宋_GB2312"/>
        </w:rPr>
        <w:t>。</w:t>
      </w:r>
      <w:bookmarkEnd w:id="295"/>
      <w:r>
        <w:rPr>
          <w:rFonts w:hint="eastAsia" w:ascii="仿宋_GB2312" w:hAnsi="仿宋_GB2312" w:eastAsia="仿宋_GB2312" w:cs="仿宋_GB2312"/>
          <w:bCs/>
          <w:sz w:val="32"/>
          <w:szCs w:val="32"/>
        </w:rPr>
        <w:t>完善顶层机构设计，统筹协调各方力量推动学习型社会建设。</w:t>
      </w:r>
      <w:r>
        <w:rPr>
          <w:rFonts w:hint="eastAsia" w:ascii="仿宋_GB2312" w:hAnsi="仿宋_GB2312" w:eastAsia="仿宋_GB2312" w:cs="仿宋_GB2312"/>
          <w:sz w:val="32"/>
          <w:szCs w:val="32"/>
        </w:rPr>
        <w:t>坚持党在终身教育体系建设中的领导作用，准确把握终身教育的建设方向、原则、理念和任务。多元化发展成人教育、社区教育、远程教育，构建职前与职后教育，学历教育与培训教育相互沟通衔接的职业教育终身学习体系。支持职业院校面向学生和全体社会成员开展职业培训。推动和健全市县镇村四级社区教育网络体系，加快构建和完善覆盖城乡、多层次、多形式的老年教育体系。</w:t>
      </w:r>
      <w:r>
        <w:rPr>
          <w:rFonts w:hint="eastAsia" w:ascii="仿宋_GB2312" w:hAnsi="仿宋_GB2312" w:eastAsia="仿宋_GB2312" w:cs="仿宋_GB2312"/>
          <w:bCs/>
          <w:sz w:val="32"/>
          <w:szCs w:val="32"/>
        </w:rPr>
        <w:t>积极探索更加开放畅通的人才成长通道。推动继续教育与职业教育、普通高等教育等多种教育类型的沟通衔接，拓宽人才成长多元通道。加强终身教育研究，</w:t>
      </w:r>
      <w:r>
        <w:rPr>
          <w:rFonts w:hint="eastAsia" w:ascii="仿宋_GB2312" w:hAnsi="仿宋_GB2312" w:eastAsia="仿宋_GB2312" w:cs="仿宋_GB2312"/>
          <w:sz w:val="32"/>
          <w:szCs w:val="32"/>
        </w:rPr>
        <w:t>培育终身学习品牌项目。</w:t>
      </w:r>
      <w:bookmarkEnd w:id="296"/>
      <w:bookmarkEnd w:id="297"/>
      <w:bookmarkEnd w:id="298"/>
    </w:p>
    <w:p>
      <w:pPr>
        <w:spacing w:line="560" w:lineRule="exact"/>
        <w:ind w:firstLine="640" w:firstLineChars="200"/>
        <w:rPr>
          <w:rFonts w:hint="eastAsia" w:ascii="仿宋_GB2312" w:hAnsi="仿宋_GB2312" w:eastAsia="仿宋_GB2312" w:cs="仿宋_GB2312"/>
          <w:bCs/>
          <w:sz w:val="32"/>
          <w:szCs w:val="32"/>
        </w:rPr>
      </w:pPr>
      <w:bookmarkStart w:id="299" w:name="_Toc67038468"/>
      <w:bookmarkStart w:id="300" w:name="_Toc9171"/>
      <w:bookmarkStart w:id="301" w:name="_Toc22458"/>
      <w:bookmarkStart w:id="302" w:name="_Toc21796"/>
      <w:bookmarkStart w:id="303" w:name="_Toc16068"/>
      <w:r>
        <w:rPr>
          <w:rStyle w:val="35"/>
          <w:rFonts w:hint="eastAsia" w:ascii="仿宋_GB2312" w:hAnsi="仿宋_GB2312" w:eastAsia="仿宋_GB2312" w:cs="仿宋_GB2312"/>
        </w:rPr>
        <w:t>2.激活继续教育管理机制</w:t>
      </w:r>
      <w:bookmarkEnd w:id="299"/>
      <w:r>
        <w:rPr>
          <w:rStyle w:val="35"/>
          <w:rFonts w:hint="eastAsia" w:ascii="仿宋_GB2312" w:hAnsi="仿宋_GB2312" w:eastAsia="仿宋_GB2312" w:cs="仿宋_GB2312"/>
        </w:rPr>
        <w:t>。</w:t>
      </w:r>
      <w:bookmarkEnd w:id="300"/>
      <w:r>
        <w:rPr>
          <w:rFonts w:hint="eastAsia" w:ascii="仿宋_GB2312" w:hAnsi="仿宋_GB2312" w:eastAsia="仿宋_GB2312" w:cs="仿宋_GB2312"/>
          <w:bCs/>
          <w:sz w:val="32"/>
          <w:szCs w:val="32"/>
        </w:rPr>
        <w:t>整合师资力量，完善继续教育教师队伍管理机制。</w:t>
      </w:r>
      <w:r>
        <w:rPr>
          <w:rFonts w:hint="eastAsia" w:ascii="仿宋_GB2312" w:hAnsi="仿宋_GB2312" w:eastAsia="仿宋_GB2312" w:cs="仿宋_GB2312"/>
          <w:sz w:val="32"/>
          <w:szCs w:val="32"/>
        </w:rPr>
        <w:t>鼓励专家、学者、离退休人员以及其他有专业知识和特殊技能的人员和志愿者从事公益性终身教育工作；鼓励社会组织、团体建设终身教育志愿者队伍，支持本地院校推动教师、学生团体或个人从事志愿服务。</w:t>
      </w:r>
      <w:r>
        <w:rPr>
          <w:rFonts w:hint="eastAsia" w:ascii="仿宋_GB2312" w:hAnsi="仿宋_GB2312" w:eastAsia="仿宋_GB2312" w:cs="仿宋_GB2312"/>
          <w:bCs/>
          <w:sz w:val="32"/>
          <w:szCs w:val="32"/>
        </w:rPr>
        <w:t>规范管理继续教育培训机构，健全监督考评和督导机制。</w:t>
      </w:r>
      <w:bookmarkEnd w:id="301"/>
      <w:bookmarkEnd w:id="302"/>
      <w:bookmarkEnd w:id="303"/>
    </w:p>
    <w:p>
      <w:pPr>
        <w:spacing w:line="560" w:lineRule="exact"/>
        <w:ind w:firstLine="200"/>
        <w:rPr>
          <w:rFonts w:hint="eastAsia" w:ascii="仿宋_GB2312" w:hAnsi="仿宋_GB2312" w:eastAsia="仿宋_GB2312" w:cs="仿宋_GB2312"/>
          <w:sz w:val="32"/>
          <w:szCs w:val="32"/>
        </w:rPr>
      </w:pPr>
      <w:bookmarkStart w:id="304" w:name="_Toc67038469"/>
      <w:bookmarkStart w:id="305" w:name="_Toc29718"/>
      <w:bookmarkStart w:id="306" w:name="_Toc9133"/>
      <w:bookmarkStart w:id="307" w:name="_Toc24888"/>
      <w:bookmarkStart w:id="308" w:name="_Toc15699"/>
      <w:r>
        <w:rPr>
          <w:rStyle w:val="35"/>
          <w:rFonts w:hint="eastAsia" w:ascii="仿宋_GB2312" w:hAnsi="仿宋_GB2312" w:eastAsia="仿宋_GB2312" w:cs="仿宋_GB2312"/>
          <w:lang w:val="en-US" w:eastAsia="zh-CN"/>
        </w:rPr>
        <w:t xml:space="preserve">   </w:t>
      </w:r>
      <w:r>
        <w:rPr>
          <w:rStyle w:val="35"/>
          <w:rFonts w:hint="eastAsia" w:ascii="仿宋_GB2312" w:hAnsi="仿宋_GB2312" w:eastAsia="仿宋_GB2312" w:cs="仿宋_GB2312"/>
        </w:rPr>
        <w:t>3.加快发展社区教育和老年教育</w:t>
      </w:r>
      <w:bookmarkEnd w:id="304"/>
      <w:r>
        <w:rPr>
          <w:rStyle w:val="35"/>
          <w:rFonts w:hint="eastAsia" w:ascii="仿宋_GB2312" w:hAnsi="仿宋_GB2312" w:eastAsia="仿宋_GB2312" w:cs="仿宋_GB2312"/>
        </w:rPr>
        <w:t>。</w:t>
      </w:r>
      <w:bookmarkEnd w:id="305"/>
      <w:r>
        <w:rPr>
          <w:rFonts w:hint="eastAsia" w:ascii="仿宋_GB2312" w:hAnsi="仿宋_GB2312" w:eastAsia="仿宋_GB2312" w:cs="仿宋_GB2312"/>
          <w:bCs/>
          <w:sz w:val="32"/>
          <w:szCs w:val="32"/>
        </w:rPr>
        <w:t>促进政校企社合作，强化本地院校的社会服务功能。扩大优质社区教育资源供给，促进各级社区教育均衡发展。</w:t>
      </w:r>
      <w:r>
        <w:rPr>
          <w:rFonts w:hint="eastAsia" w:ascii="仿宋_GB2312" w:hAnsi="仿宋_GB2312" w:eastAsia="仿宋_GB2312" w:cs="仿宋_GB2312"/>
          <w:sz w:val="32"/>
          <w:szCs w:val="32"/>
        </w:rPr>
        <w:t>发挥全市开放大学等机构在社区教育中的办学优势，面向生产和服务一线在职职工开展学历与非学历继续教育。积极举办“全民终身学习活动周”等群众性学习活动，大力开展多种形式的社区教育培训活动，积极创建广东省社区教育实验区，积极培育广东省社区教育示范基地和社区教育创新区。全面构建覆盖城乡的老年教育网络体系，丰富老年教育内容和形式。</w:t>
      </w:r>
      <w:bookmarkEnd w:id="306"/>
      <w:bookmarkEnd w:id="307"/>
      <w:bookmarkEnd w:id="308"/>
    </w:p>
    <w:p>
      <w:pPr>
        <w:pStyle w:val="3"/>
        <w:ind w:firstLine="640"/>
      </w:pPr>
      <w:bookmarkStart w:id="309" w:name="_Toc21092"/>
      <w:bookmarkStart w:id="310" w:name="_Toc67038470"/>
      <w:bookmarkStart w:id="311" w:name="_Toc12943"/>
      <w:bookmarkStart w:id="312" w:name="_Toc5024"/>
      <w:bookmarkStart w:id="313" w:name="_Toc12781"/>
      <w:bookmarkStart w:id="314" w:name="_Toc20303"/>
      <w:bookmarkStart w:id="315" w:name="_Toc32742"/>
      <w:bookmarkStart w:id="316" w:name="_Toc19887"/>
      <w:r>
        <w:t>（</w:t>
      </w:r>
      <w:r>
        <w:rPr>
          <w:rFonts w:hint="eastAsia"/>
        </w:rPr>
        <w:t>五</w:t>
      </w:r>
      <w:r>
        <w:t>）发展信息技术与教育教学融合的智慧教育</w:t>
      </w:r>
      <w:bookmarkEnd w:id="309"/>
      <w:bookmarkEnd w:id="310"/>
      <w:bookmarkEnd w:id="311"/>
      <w:bookmarkEnd w:id="312"/>
      <w:bookmarkEnd w:id="313"/>
    </w:p>
    <w:p>
      <w:pPr>
        <w:spacing w:line="560" w:lineRule="exact"/>
        <w:ind w:firstLine="640" w:firstLineChars="200"/>
        <w:rPr>
          <w:rFonts w:hint="eastAsia" w:ascii="仿宋_GB2312" w:hAnsi="仿宋_GB2312" w:eastAsia="仿宋_GB2312" w:cs="仿宋_GB2312"/>
          <w:sz w:val="32"/>
          <w:highlight w:val="none"/>
        </w:rPr>
      </w:pPr>
      <w:bookmarkStart w:id="317" w:name="_Toc62659551"/>
      <w:bookmarkStart w:id="318" w:name="_Toc64641080"/>
      <w:bookmarkStart w:id="319" w:name="_Toc67038472"/>
      <w:bookmarkStart w:id="320" w:name="_Toc23127"/>
      <w:bookmarkStart w:id="321" w:name="_Toc24439"/>
      <w:bookmarkStart w:id="322" w:name="_Toc62659547"/>
      <w:bookmarkStart w:id="323" w:name="_Toc64641079"/>
      <w:bookmarkStart w:id="324" w:name="_Toc67038471"/>
      <w:bookmarkStart w:id="325" w:name="_Toc13615"/>
      <w:bookmarkStart w:id="326" w:name="_Toc7620"/>
      <w:bookmarkStart w:id="327" w:name="_Toc794"/>
      <w:bookmarkStart w:id="328" w:name="_Toc67038478"/>
      <w:r>
        <w:rPr>
          <w:rStyle w:val="35"/>
          <w:rFonts w:hint="eastAsia" w:ascii="仿宋_GB2312" w:hAnsi="仿宋_GB2312" w:eastAsia="仿宋_GB2312" w:cs="仿宋_GB2312"/>
        </w:rPr>
        <w:t>1.完善教育信息化资源保障</w:t>
      </w:r>
      <w:bookmarkEnd w:id="317"/>
      <w:bookmarkEnd w:id="318"/>
      <w:bookmarkEnd w:id="319"/>
      <w:bookmarkEnd w:id="320"/>
      <w:r>
        <w:rPr>
          <w:rStyle w:val="35"/>
          <w:rFonts w:hint="eastAsia" w:ascii="仿宋_GB2312" w:hAnsi="仿宋_GB2312" w:eastAsia="仿宋_GB2312" w:cs="仿宋_GB2312"/>
        </w:rPr>
        <w:t>。</w:t>
      </w:r>
      <w:bookmarkEnd w:id="321"/>
      <w:bookmarkStart w:id="329" w:name="_Toc62659553"/>
      <w:bookmarkStart w:id="330" w:name="_Toc57406595"/>
      <w:r>
        <w:rPr>
          <w:rFonts w:hint="eastAsia" w:ascii="仿宋_GB2312" w:hAnsi="仿宋_GB2312" w:eastAsia="仿宋_GB2312" w:cs="仿宋_GB2312"/>
          <w:bCs/>
          <w:sz w:val="32"/>
          <w:szCs w:val="32"/>
          <w:highlight w:val="none"/>
        </w:rPr>
        <w:t>加大教育信息化投入</w:t>
      </w:r>
      <w:bookmarkEnd w:id="329"/>
      <w:bookmarkEnd w:id="330"/>
      <w:r>
        <w:rPr>
          <w:rFonts w:hint="eastAsia" w:ascii="仿宋_GB2312" w:hAnsi="仿宋_GB2312" w:eastAsia="仿宋_GB2312" w:cs="仿宋_GB2312"/>
          <w:bCs/>
          <w:sz w:val="32"/>
          <w:szCs w:val="32"/>
          <w:highlight w:val="none"/>
        </w:rPr>
        <w:t>，每年财政性教育投入优先保障</w:t>
      </w:r>
      <w:r>
        <w:rPr>
          <w:rFonts w:hint="eastAsia" w:ascii="仿宋_GB2312" w:hAnsi="仿宋_GB2312" w:eastAsia="仿宋_GB2312" w:cs="仿宋_GB2312"/>
          <w:sz w:val="32"/>
          <w:highlight w:val="none"/>
        </w:rPr>
        <w:t>教育信息化基础运维和质量提升，重点倾斜农村、边远地区教育信息化发展。</w:t>
      </w:r>
      <w:bookmarkEnd w:id="322"/>
      <w:bookmarkEnd w:id="323"/>
      <w:bookmarkEnd w:id="324"/>
      <w:bookmarkEnd w:id="325"/>
      <w:bookmarkStart w:id="331" w:name="_Toc57406589"/>
      <w:bookmarkStart w:id="332" w:name="_Toc62659548"/>
      <w:r>
        <w:rPr>
          <w:rFonts w:hint="eastAsia" w:ascii="仿宋_GB2312" w:hAnsi="仿宋_GB2312" w:eastAsia="仿宋_GB2312" w:cs="仿宋_GB2312"/>
          <w:bCs/>
          <w:sz w:val="32"/>
          <w:highlight w:val="none"/>
        </w:rPr>
        <w:t>完善网络基础设施</w:t>
      </w:r>
      <w:bookmarkEnd w:id="331"/>
      <w:bookmarkEnd w:id="332"/>
      <w:bookmarkStart w:id="333" w:name="_Toc57406590"/>
      <w:r>
        <w:rPr>
          <w:rFonts w:hint="eastAsia" w:ascii="仿宋_GB2312" w:hAnsi="仿宋_GB2312" w:eastAsia="仿宋_GB2312" w:cs="仿宋_GB2312"/>
          <w:sz w:val="32"/>
          <w:highlight w:val="none"/>
        </w:rPr>
        <w:t>，优化网络运行环境，推进基于IPv6（第六版互联网协议）和5G的教育网络信息系统升级改造，实现学校局域网提质增速。</w:t>
      </w:r>
      <w:bookmarkStart w:id="334" w:name="_Toc62659557"/>
      <w:bookmarkStart w:id="335" w:name="_Toc57406600"/>
      <w:bookmarkEnd w:id="333"/>
      <w:r>
        <w:rPr>
          <w:rFonts w:hint="eastAsia" w:ascii="仿宋_GB2312" w:hAnsi="仿宋_GB2312" w:eastAsia="仿宋_GB2312" w:cs="仿宋_GB2312"/>
          <w:sz w:val="32"/>
          <w:highlight w:val="none"/>
        </w:rPr>
        <w:t>推进智慧校园建设</w:t>
      </w:r>
      <w:bookmarkStart w:id="336" w:name="_Toc57406592"/>
      <w:r>
        <w:rPr>
          <w:rFonts w:hint="eastAsia" w:ascii="仿宋_GB2312" w:hAnsi="仿宋_GB2312" w:eastAsia="仿宋_GB2312" w:cs="仿宋_GB2312"/>
          <w:sz w:val="32"/>
          <w:highlight w:val="none"/>
        </w:rPr>
        <w:t>，加快数字图书馆、创客空间、录播教室、智慧后勤、智慧安防、智慧场馆等建设</w:t>
      </w:r>
      <w:bookmarkEnd w:id="336"/>
      <w:r>
        <w:rPr>
          <w:rFonts w:hint="eastAsia" w:ascii="仿宋_GB2312" w:hAnsi="仿宋_GB2312" w:eastAsia="仿宋_GB2312" w:cs="仿宋_GB2312"/>
          <w:sz w:val="32"/>
          <w:highlight w:val="none"/>
        </w:rPr>
        <w:t>，到2022年，建成一定数量的具有辐射作用的信息化中心校（智慧校园）示范校。</w:t>
      </w:r>
      <w:bookmarkStart w:id="337" w:name="_Toc62659559"/>
      <w:bookmarkStart w:id="338" w:name="_Toc57406604"/>
      <w:bookmarkEnd w:id="334"/>
      <w:bookmarkEnd w:id="335"/>
      <w:r>
        <w:rPr>
          <w:rFonts w:hint="eastAsia" w:ascii="仿宋_GB2312" w:hAnsi="仿宋_GB2312" w:eastAsia="仿宋_GB2312" w:cs="仿宋_GB2312"/>
          <w:sz w:val="32"/>
          <w:highlight w:val="none"/>
        </w:rPr>
        <w:t>推进国家义务教育课程数字化教材规模化应用。</w:t>
      </w:r>
      <w:bookmarkEnd w:id="326"/>
      <w:bookmarkEnd w:id="327"/>
    </w:p>
    <w:bookmarkEnd w:id="337"/>
    <w:bookmarkEnd w:id="338"/>
    <w:p>
      <w:pPr>
        <w:spacing w:line="560" w:lineRule="exact"/>
        <w:ind w:firstLine="640" w:firstLineChars="200"/>
        <w:rPr>
          <w:rFonts w:hint="eastAsia" w:ascii="仿宋_GB2312" w:hAnsi="仿宋_GB2312" w:eastAsia="仿宋_GB2312" w:cs="仿宋_GB2312"/>
          <w:sz w:val="32"/>
        </w:rPr>
      </w:pPr>
      <w:bookmarkStart w:id="339" w:name="_Toc2266"/>
      <w:bookmarkStart w:id="340" w:name="_Toc16573"/>
      <w:bookmarkStart w:id="341" w:name="_Toc1131"/>
      <w:bookmarkStart w:id="342" w:name="_Toc12476"/>
      <w:bookmarkStart w:id="343" w:name="_Toc62659561"/>
      <w:bookmarkStart w:id="344" w:name="_Toc57539936"/>
      <w:bookmarkStart w:id="345" w:name="_Toc67038474"/>
      <w:bookmarkStart w:id="346" w:name="_Toc57909800"/>
      <w:bookmarkStart w:id="347" w:name="_Toc64641082"/>
      <w:r>
        <w:rPr>
          <w:rStyle w:val="35"/>
          <w:rFonts w:hint="eastAsia" w:ascii="仿宋_GB2312" w:hAnsi="仿宋_GB2312" w:eastAsia="仿宋_GB2312" w:cs="仿宋_GB2312"/>
        </w:rPr>
        <w:t>2.利用信息技术助力教育教学改革。</w:t>
      </w:r>
      <w:bookmarkEnd w:id="339"/>
      <w:r>
        <w:rPr>
          <w:rFonts w:hint="eastAsia" w:ascii="仿宋_GB2312" w:hAnsi="仿宋_GB2312" w:eastAsia="仿宋_GB2312" w:cs="仿宋_GB2312"/>
          <w:sz w:val="32"/>
        </w:rPr>
        <w:t>建设基于信息技术的教学改革实验区，构建课堂教学创新实践共同体，推动“专递课堂”“名师课堂”“名校网络课堂”建设，为农村和边远地区学校、教学点提供优质学习资源。探索在新课程理念指导下在教学中应用信息技术的模式与与学科教学的双向深度融合，培养学生的创新实践能力、批判性思维能力。规范和支持线上教育发展。</w:t>
      </w:r>
      <w:r>
        <w:rPr>
          <w:rFonts w:hint="eastAsia" w:ascii="仿宋_GB2312" w:hAnsi="仿宋_GB2312" w:eastAsia="仿宋_GB2312" w:cs="仿宋_GB2312"/>
          <w:bCs/>
          <w:sz w:val="32"/>
        </w:rPr>
        <w:t>推进基于大数据的学业监测与评估研究。</w:t>
      </w:r>
      <w:r>
        <w:rPr>
          <w:rFonts w:hint="eastAsia" w:ascii="仿宋_GB2312" w:hAnsi="仿宋_GB2312" w:eastAsia="仿宋_GB2312" w:cs="仿宋_GB2312"/>
          <w:sz w:val="32"/>
        </w:rPr>
        <w:t>建设大数据综合治理服务平台，开展教育数据采集、汇聚、分析服务，全面支撑教育治理与教育教学工作。</w:t>
      </w:r>
      <w:bookmarkEnd w:id="340"/>
      <w:bookmarkEnd w:id="341"/>
    </w:p>
    <w:p>
      <w:pPr>
        <w:spacing w:line="560" w:lineRule="exact"/>
        <w:ind w:firstLine="640" w:firstLineChars="200"/>
        <w:rPr>
          <w:rFonts w:hint="eastAsia" w:ascii="仿宋_GB2312" w:hAnsi="仿宋_GB2312" w:eastAsia="仿宋_GB2312" w:cs="仿宋_GB2312"/>
          <w:bCs/>
          <w:sz w:val="32"/>
        </w:rPr>
      </w:pPr>
      <w:bookmarkStart w:id="348" w:name="_Toc288"/>
      <w:bookmarkStart w:id="349" w:name="_Toc17876"/>
      <w:bookmarkStart w:id="350" w:name="_Toc31245"/>
      <w:r>
        <w:rPr>
          <w:rStyle w:val="35"/>
          <w:rFonts w:hint="eastAsia" w:ascii="仿宋_GB2312" w:hAnsi="仿宋_GB2312" w:eastAsia="仿宋_GB2312" w:cs="仿宋_GB2312"/>
        </w:rPr>
        <w:t>3.全面推进师生信息技术</w:t>
      </w:r>
      <w:bookmarkEnd w:id="342"/>
      <w:bookmarkEnd w:id="343"/>
      <w:bookmarkEnd w:id="344"/>
      <w:bookmarkEnd w:id="345"/>
      <w:bookmarkEnd w:id="346"/>
      <w:bookmarkEnd w:id="347"/>
      <w:r>
        <w:rPr>
          <w:rStyle w:val="35"/>
          <w:rFonts w:hint="eastAsia" w:ascii="仿宋_GB2312" w:hAnsi="仿宋_GB2312" w:eastAsia="仿宋_GB2312" w:cs="仿宋_GB2312"/>
        </w:rPr>
        <w:t>素养和能力提升。</w:t>
      </w:r>
      <w:bookmarkEnd w:id="348"/>
      <w:r>
        <w:rPr>
          <w:rFonts w:hint="eastAsia" w:ascii="仿宋_GB2312" w:hAnsi="仿宋_GB2312" w:eastAsia="仿宋_GB2312" w:cs="仿宋_GB2312"/>
          <w:bCs/>
          <w:sz w:val="32"/>
        </w:rPr>
        <w:t>持续开展面向教育管理者的信息化领导能力培训，提升教育管理者学网、懂网、用网水平，引领区域、学校教育信息化可持续发展。</w:t>
      </w:r>
      <w:bookmarkStart w:id="351" w:name="_Toc57909803"/>
      <w:bookmarkStart w:id="352" w:name="_Toc62659564"/>
      <w:bookmarkStart w:id="353" w:name="_Toc57539939"/>
      <w:r>
        <w:rPr>
          <w:rFonts w:hint="eastAsia" w:ascii="仿宋_GB2312" w:hAnsi="仿宋_GB2312" w:eastAsia="仿宋_GB2312" w:cs="仿宋_GB2312"/>
          <w:bCs/>
          <w:sz w:val="32"/>
        </w:rPr>
        <w:t>全面开展智慧教研，加强教研活动与信息技术深度融合，全面提升教师信息素养与学科能力“双核要素”。加强学生信息素养的培育</w:t>
      </w:r>
      <w:bookmarkEnd w:id="351"/>
      <w:bookmarkEnd w:id="352"/>
      <w:bookmarkEnd w:id="353"/>
      <w:r>
        <w:rPr>
          <w:rFonts w:hint="eastAsia" w:ascii="仿宋_GB2312" w:hAnsi="仿宋_GB2312" w:eastAsia="仿宋_GB2312" w:cs="仿宋_GB2312"/>
          <w:bCs/>
          <w:sz w:val="32"/>
        </w:rPr>
        <w:t>，将学生信息素养纳入学生综合素质评价。</w:t>
      </w:r>
      <w:bookmarkStart w:id="354" w:name="_Toc62659565"/>
      <w:bookmarkStart w:id="355" w:name="_Toc57539940"/>
      <w:bookmarkStart w:id="356" w:name="_Toc57909804"/>
      <w:r>
        <w:rPr>
          <w:rFonts w:hint="eastAsia" w:ascii="仿宋_GB2312" w:hAnsi="仿宋_GB2312" w:eastAsia="仿宋_GB2312" w:cs="仿宋_GB2312"/>
          <w:bCs/>
          <w:sz w:val="32"/>
        </w:rPr>
        <w:t>积极开展创客教育</w:t>
      </w:r>
      <w:bookmarkEnd w:id="354"/>
      <w:bookmarkEnd w:id="355"/>
      <w:bookmarkEnd w:id="356"/>
      <w:r>
        <w:rPr>
          <w:rFonts w:hint="eastAsia" w:ascii="仿宋_GB2312" w:hAnsi="仿宋_GB2312" w:eastAsia="仿宋_GB2312" w:cs="仿宋_GB2312"/>
          <w:bCs/>
          <w:sz w:val="32"/>
        </w:rPr>
        <w:t>，鼓励和支持学校建立创客空间服务平台，拓展学生创客活动的空间。加强创客教师队伍建设，多渠道解决创客师资紧缺问题。</w:t>
      </w:r>
      <w:bookmarkEnd w:id="349"/>
      <w:bookmarkEnd w:id="350"/>
      <w:bookmarkStart w:id="357" w:name="_Toc12586"/>
      <w:bookmarkStart w:id="358" w:name="_Toc62659566"/>
      <w:bookmarkStart w:id="359" w:name="_Toc57539941"/>
      <w:bookmarkStart w:id="360" w:name="_Toc57909805"/>
      <w:bookmarkStart w:id="361" w:name="_Toc64641083"/>
      <w:bookmarkStart w:id="362" w:name="_Toc67038475"/>
    </w:p>
    <w:bookmarkEnd w:id="357"/>
    <w:bookmarkEnd w:id="358"/>
    <w:bookmarkEnd w:id="359"/>
    <w:bookmarkEnd w:id="360"/>
    <w:bookmarkEnd w:id="361"/>
    <w:bookmarkEnd w:id="362"/>
    <w:p>
      <w:pPr>
        <w:spacing w:line="560" w:lineRule="exact"/>
        <w:ind w:firstLine="640" w:firstLineChars="200"/>
        <w:rPr>
          <w:rFonts w:hint="eastAsia" w:ascii="仿宋_GB2312" w:hAnsi="仿宋_GB2312" w:eastAsia="仿宋_GB2312" w:cs="仿宋_GB2312"/>
          <w:b/>
          <w:sz w:val="32"/>
          <w:szCs w:val="32"/>
        </w:rPr>
      </w:pPr>
      <w:bookmarkStart w:id="363" w:name="_Toc23470"/>
      <w:bookmarkStart w:id="364" w:name="_Toc5869"/>
      <w:bookmarkStart w:id="365" w:name="_Toc29734"/>
      <w:r>
        <w:rPr>
          <w:rStyle w:val="35"/>
          <w:rFonts w:hint="eastAsia" w:ascii="仿宋_GB2312" w:hAnsi="仿宋_GB2312" w:eastAsia="仿宋_GB2312" w:cs="仿宋_GB2312"/>
        </w:rPr>
        <w:t>4.提高教育系统网络、信息与数据安全保障能力</w:t>
      </w:r>
      <w:bookmarkEnd w:id="328"/>
      <w:r>
        <w:rPr>
          <w:rStyle w:val="35"/>
          <w:rFonts w:hint="eastAsia" w:ascii="仿宋_GB2312" w:hAnsi="仿宋_GB2312" w:eastAsia="仿宋_GB2312" w:cs="仿宋_GB2312"/>
        </w:rPr>
        <w:t>。</w:t>
      </w:r>
      <w:bookmarkEnd w:id="363"/>
      <w:r>
        <w:rPr>
          <w:rFonts w:hint="eastAsia" w:ascii="仿宋_GB2312" w:hAnsi="仿宋_GB2312" w:eastAsia="仿宋_GB2312" w:cs="仿宋_GB2312"/>
          <w:bCs/>
          <w:sz w:val="32"/>
          <w:szCs w:val="32"/>
        </w:rPr>
        <w:t>贯彻国家网络安全等级保护2.0要求，落实教育网络安全监管主体责任，开展网络安全综合治理行动，完善网络安全工作管理制度，强化安全应急保障体系，健全网络安全应急预案。加强线上教育意识形态安全管理和网络安全管理，提高网络与信息系统检测能力和响应能力，形成网络突发事件应对合力，提升网络与信息安全保障能力。开展网络安全专项教育和培训，提高全体人员的网络安全意识和安全防范能力。</w:t>
      </w:r>
      <w:bookmarkEnd w:id="364"/>
      <w:bookmarkEnd w:id="365"/>
    </w:p>
    <w:p>
      <w:pPr>
        <w:rPr>
          <w:rFonts w:hint="eastAsia" w:ascii="仿宋_GB2312" w:hAnsi="仿宋_GB2312" w:eastAsia="仿宋_GB2312" w:cs="仿宋_GB2312"/>
          <w:color w:val="000000"/>
        </w:rPr>
      </w:pPr>
    </w:p>
    <w:tbl>
      <w:tblPr>
        <w:tblStyle w:val="23"/>
        <w:tblW w:w="9090"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trPr>
        <w:tc>
          <w:tcPr>
            <w:tcW w:w="9090" w:type="dxa"/>
            <w:tcBorders>
              <w:top w:val="single" w:color="auto" w:sz="8" w:space="0"/>
              <w:left w:val="single" w:color="auto" w:sz="8" w:space="0"/>
              <w:bottom w:val="single" w:color="auto" w:sz="4" w:space="0"/>
              <w:right w:val="single" w:color="auto" w:sz="8" w:space="0"/>
            </w:tcBorders>
            <w:tcMar>
              <w:left w:w="108" w:type="dxa"/>
              <w:right w:w="108" w:type="dxa"/>
            </w:tcMar>
            <w:vAlign w:val="top"/>
          </w:tcPr>
          <w:p>
            <w:pPr>
              <w:adjustRightInd w:val="0"/>
              <w:snapToGrid w:val="0"/>
              <w:spacing w:line="240" w:lineRule="atLeast"/>
              <w:jc w:val="center"/>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8</w:t>
            </w:r>
            <w:r>
              <w:rPr>
                <w:rFonts w:ascii="Times New Roman" w:hAnsi="Times New Roman" w:eastAsia="仿宋_GB2312" w:cs="Times New Roman"/>
                <w:b/>
                <w:color w:val="000000"/>
                <w:sz w:val="28"/>
                <w:szCs w:val="28"/>
              </w:rPr>
              <w:t>：教育信息化融合创新发展行动计划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5" w:hRule="atLeast"/>
        </w:trPr>
        <w:tc>
          <w:tcPr>
            <w:tcW w:w="9090" w:type="dxa"/>
            <w:tcBorders>
              <w:top w:val="single" w:color="auto" w:sz="4" w:space="0"/>
              <w:left w:val="single" w:color="auto" w:sz="8" w:space="0"/>
              <w:bottom w:val="single" w:color="auto" w:sz="8" w:space="0"/>
              <w:right w:val="single" w:color="auto" w:sz="8" w:space="0"/>
            </w:tcBorders>
            <w:tcMar>
              <w:left w:w="108" w:type="dxa"/>
              <w:right w:w="108" w:type="dxa"/>
            </w:tcMar>
            <w:vAlign w:val="top"/>
          </w:tcPr>
          <w:p>
            <w:pPr>
              <w:adjustRightInd w:val="0"/>
              <w:snapToGrid w:val="0"/>
              <w:spacing w:line="240" w:lineRule="atLeast"/>
              <w:ind w:firstLine="560" w:firstLineChars="200"/>
              <w:rPr>
                <w:rFonts w:ascii="Times New Roman" w:hAnsi="Times New Roman" w:eastAsia="仿宋_GB2312" w:cs="Times New Roman"/>
                <w:sz w:val="28"/>
                <w:szCs w:val="28"/>
              </w:rPr>
            </w:pPr>
          </w:p>
          <w:p>
            <w:pPr>
              <w:adjustRightInd w:val="0"/>
              <w:snapToGrid w:val="0"/>
              <w:spacing w:line="24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基本完成教育系统基于IPv6和5G的互联网基础设施设备和信息系统升级改造。加快教育信息化中心学校</w:t>
            </w:r>
            <w:r>
              <w:rPr>
                <w:rFonts w:hint="eastAsia" w:ascii="Times New Roman" w:hAnsi="Times New Roman" w:eastAsia="仿宋_GB2312" w:cs="Times New Roman"/>
                <w:sz w:val="28"/>
                <w:szCs w:val="28"/>
              </w:rPr>
              <w:t>（智慧校园）</w:t>
            </w:r>
            <w:r>
              <w:rPr>
                <w:rFonts w:ascii="Times New Roman" w:hAnsi="Times New Roman" w:eastAsia="仿宋_GB2312" w:cs="Times New Roman"/>
                <w:sz w:val="28"/>
                <w:szCs w:val="28"/>
              </w:rPr>
              <w:t>、信息化融合创新培育推广项目、“爱种子”教学改革项目、教育信息化教学应用创新实践共同体项目、数字教材规模化应用全覆盖项目等建设</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到202</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年，建成20所</w:t>
            </w:r>
            <w:r>
              <w:rPr>
                <w:rFonts w:hint="eastAsia" w:ascii="Times New Roman" w:hAnsi="Times New Roman" w:eastAsia="仿宋_GB2312" w:cs="Times New Roman"/>
                <w:sz w:val="28"/>
                <w:szCs w:val="28"/>
              </w:rPr>
              <w:t>以上</w:t>
            </w:r>
            <w:r>
              <w:rPr>
                <w:rFonts w:ascii="Times New Roman" w:hAnsi="Times New Roman" w:eastAsia="仿宋_GB2312" w:cs="Times New Roman"/>
                <w:sz w:val="28"/>
                <w:szCs w:val="28"/>
              </w:rPr>
              <w:t>信息化中心学校（智慧校园）示范校，培育10个</w:t>
            </w:r>
            <w:r>
              <w:rPr>
                <w:rFonts w:hint="eastAsia" w:ascii="Times New Roman" w:hAnsi="Times New Roman" w:eastAsia="仿宋_GB2312" w:cs="Times New Roman"/>
                <w:sz w:val="28"/>
                <w:szCs w:val="28"/>
              </w:rPr>
              <w:t>以上省级</w:t>
            </w:r>
            <w:r>
              <w:rPr>
                <w:rFonts w:ascii="Times New Roman" w:hAnsi="Times New Roman" w:eastAsia="仿宋_GB2312" w:cs="Times New Roman"/>
                <w:sz w:val="28"/>
                <w:szCs w:val="28"/>
              </w:rPr>
              <w:t>信息化融合创新标杆项目。建设智慧课堂，丰富优质慕课资源。</w:t>
            </w:r>
          </w:p>
          <w:p>
            <w:pPr>
              <w:adjustRightInd w:val="0"/>
              <w:snapToGrid w:val="0"/>
              <w:spacing w:line="240"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开展5G+智慧教育，</w:t>
            </w:r>
            <w:r>
              <w:rPr>
                <w:rFonts w:hint="eastAsia" w:ascii="Times New Roman" w:hAnsi="Times New Roman" w:eastAsia="仿宋_GB2312" w:cs="Times New Roman"/>
                <w:sz w:val="28"/>
                <w:szCs w:val="28"/>
              </w:rPr>
              <w:t>推动</w:t>
            </w:r>
            <w:r>
              <w:rPr>
                <w:rFonts w:ascii="Times New Roman" w:hAnsi="Times New Roman" w:eastAsia="仿宋_GB2312" w:cs="Times New Roman"/>
                <w:sz w:val="28"/>
                <w:szCs w:val="28"/>
              </w:rPr>
              <w:t>在5G智慧校园环境下实现远程直播</w:t>
            </w:r>
            <w:r>
              <w:rPr>
                <w:rFonts w:hint="eastAsia" w:ascii="Times New Roman" w:hAnsi="Times New Roman" w:eastAsia="仿宋_GB2312" w:cs="Times New Roman"/>
                <w:sz w:val="28"/>
                <w:szCs w:val="28"/>
              </w:rPr>
              <w:t>，推动</w:t>
            </w:r>
            <w:r>
              <w:rPr>
                <w:rFonts w:ascii="Times New Roman" w:hAnsi="Times New Roman" w:eastAsia="仿宋_GB2312" w:cs="Times New Roman"/>
                <w:sz w:val="28"/>
                <w:szCs w:val="28"/>
              </w:rPr>
              <w:t>学校与课堂</w:t>
            </w:r>
            <w:r>
              <w:rPr>
                <w:rFonts w:hint="eastAsia" w:ascii="Times New Roman" w:hAnsi="Times New Roman" w:eastAsia="仿宋_GB2312" w:cs="Times New Roman"/>
                <w:sz w:val="28"/>
                <w:szCs w:val="28"/>
              </w:rPr>
              <w:t>校际联动</w:t>
            </w:r>
            <w:r>
              <w:rPr>
                <w:rFonts w:ascii="Times New Roman" w:hAnsi="Times New Roman" w:eastAsia="仿宋_GB2312" w:cs="Times New Roman"/>
                <w:sz w:val="28"/>
                <w:szCs w:val="28"/>
              </w:rPr>
              <w:t>，实时分享优质教学内容。</w:t>
            </w:r>
          </w:p>
          <w:p>
            <w:pPr>
              <w:adjustRightInd w:val="0"/>
              <w:snapToGrid w:val="0"/>
              <w:spacing w:line="240" w:lineRule="atLeast"/>
              <w:ind w:firstLine="560" w:firstLineChars="200"/>
              <w:rPr>
                <w:rFonts w:ascii="Times New Roman" w:hAnsi="Times New Roman" w:eastAsia="仿宋_GB2312" w:cs="Times New Roman"/>
                <w:b/>
                <w:bCs/>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p>
            <w:pPr>
              <w:adjustRightInd w:val="0"/>
              <w:snapToGrid w:val="0"/>
              <w:spacing w:line="240" w:lineRule="atLeast"/>
              <w:ind w:firstLine="560" w:firstLineChars="200"/>
              <w:rPr>
                <w:rFonts w:ascii="Times New Roman" w:hAnsi="Times New Roman" w:eastAsia="仿宋_GB2312" w:cs="Times New Roman"/>
                <w:sz w:val="28"/>
                <w:szCs w:val="28"/>
              </w:rPr>
            </w:pPr>
          </w:p>
        </w:tc>
      </w:tr>
      <w:bookmarkEnd w:id="314"/>
      <w:bookmarkEnd w:id="315"/>
      <w:bookmarkEnd w:id="316"/>
    </w:tbl>
    <w:p>
      <w:bookmarkStart w:id="366" w:name="_Toc67038479"/>
      <w:bookmarkStart w:id="367" w:name="_Toc19451"/>
      <w:bookmarkStart w:id="368" w:name="_Toc6938"/>
      <w:bookmarkStart w:id="369" w:name="_Toc32592"/>
      <w:bookmarkStart w:id="370" w:name="_Toc17885"/>
    </w:p>
    <w:p>
      <w:pPr>
        <w:pStyle w:val="3"/>
        <w:ind w:firstLine="640"/>
      </w:pPr>
      <w:bookmarkStart w:id="371" w:name="_Toc23981"/>
      <w:bookmarkStart w:id="372" w:name="_Toc24535"/>
      <w:bookmarkStart w:id="373" w:name="_Toc17237"/>
      <w:r>
        <w:t>（</w:t>
      </w:r>
      <w:r>
        <w:rPr>
          <w:rFonts w:hint="eastAsia"/>
        </w:rPr>
        <w:t>六</w:t>
      </w:r>
      <w:r>
        <w:t>）建设高素质专业化创新型的教育人才队伍</w:t>
      </w:r>
      <w:bookmarkEnd w:id="366"/>
      <w:bookmarkEnd w:id="367"/>
      <w:bookmarkEnd w:id="371"/>
      <w:bookmarkEnd w:id="372"/>
      <w:bookmarkEnd w:id="373"/>
    </w:p>
    <w:p>
      <w:pPr>
        <w:pStyle w:val="4"/>
        <w:wordWrap/>
        <w:spacing w:line="560" w:lineRule="exact"/>
        <w:ind w:right="0" w:firstLine="640"/>
        <w:jc w:val="both"/>
        <w:rPr>
          <w:rFonts w:hint="eastAsia" w:ascii="仿宋_GB2312" w:hAnsi="仿宋_GB2312" w:eastAsia="仿宋_GB2312" w:cs="仿宋_GB2312"/>
          <w:sz w:val="32"/>
          <w:szCs w:val="32"/>
        </w:rPr>
      </w:pPr>
      <w:bookmarkStart w:id="374" w:name="_Toc67038480"/>
      <w:bookmarkStart w:id="375" w:name="_Toc29765"/>
      <w:bookmarkStart w:id="376" w:name="_Toc31697"/>
      <w:bookmarkStart w:id="377" w:name="_Toc15890"/>
      <w:bookmarkStart w:id="378" w:name="_Toc32754"/>
      <w:bookmarkStart w:id="379" w:name="_Toc2602"/>
      <w:r>
        <w:rPr>
          <w:rFonts w:hint="eastAsia" w:ascii="仿宋_GB2312" w:hAnsi="仿宋_GB2312" w:eastAsia="仿宋_GB2312" w:cs="仿宋_GB2312"/>
          <w:sz w:val="32"/>
          <w:szCs w:val="32"/>
        </w:rPr>
        <w:t>1.提升教育人才队伍思想政治素质和职业道德水平</w:t>
      </w:r>
      <w:bookmarkEnd w:id="374"/>
      <w:bookmarkEnd w:id="375"/>
      <w:r>
        <w:rPr>
          <w:rFonts w:hint="eastAsia" w:ascii="仿宋_GB2312" w:hAnsi="仿宋_GB2312" w:eastAsia="仿宋_GB2312" w:cs="仿宋_GB2312"/>
          <w:sz w:val="32"/>
          <w:szCs w:val="32"/>
        </w:rPr>
        <w:t>。</w:t>
      </w:r>
      <w:bookmarkEnd w:id="376"/>
      <w:bookmarkEnd w:id="377"/>
    </w:p>
    <w:p>
      <w:pPr>
        <w:pStyle w:val="32"/>
        <w:wordWrap/>
        <w:autoSpaceDE w:val="0"/>
        <w:autoSpaceDN w:val="0"/>
        <w:adjustRightInd w:val="0"/>
        <w:snapToGrid w:val="0"/>
        <w:spacing w:line="560" w:lineRule="exact"/>
        <w:ind w:right="0" w:firstLine="640"/>
        <w:jc w:val="both"/>
        <w:rPr>
          <w:rFonts w:hint="eastAsia" w:ascii="仿宋_GB2312" w:hAnsi="仿宋_GB2312" w:eastAsia="仿宋_GB2312" w:cs="仿宋_GB2312"/>
          <w:sz w:val="32"/>
          <w:szCs w:val="32"/>
        </w:rPr>
      </w:pPr>
      <w:bookmarkStart w:id="380" w:name="_Toc10927"/>
      <w:r>
        <w:rPr>
          <w:rFonts w:hint="eastAsia" w:ascii="仿宋_GB2312" w:hAnsi="仿宋_GB2312" w:eastAsia="仿宋_GB2312" w:cs="仿宋_GB2312"/>
          <w:b/>
          <w:bCs/>
          <w:sz w:val="32"/>
          <w:szCs w:val="32"/>
        </w:rPr>
        <w:t>坚持党对人才工作的全面领导，全面加强师德师风建设。</w:t>
      </w:r>
      <w:r>
        <w:rPr>
          <w:rFonts w:hint="eastAsia" w:ascii="仿宋_GB2312" w:hAnsi="仿宋_GB2312" w:eastAsia="仿宋_GB2312" w:cs="仿宋_GB2312"/>
          <w:sz w:val="32"/>
          <w:szCs w:val="32"/>
        </w:rPr>
        <w:t>健全“党建带头人、业务带头人”和“双培养”机制，在骨干人才中发展党员，在党员中培育骨干人才。健全教育、宣传、考核、监督、奖惩相结合的师德师风建设长效机制，强化师德考评，体现奖优罚劣，全面落实师德考核负面清单制度，将师德师风作为评价教师素质的第一标准。全面落实新教师入职宣誓、教师师德承诺和教师光荣退休欢送制度。建立教师个人信用记录，完善诚信承诺和失信惩戒机制，对出现严重师德师风问题的教师，实行师德考核“一票否决制”,探索实施教育全行业禁入制度。加强理想信念教育、法律法规教育、传统文化教育，夯实课堂教学、校园文化、网络宣传阵地建设,规范教师职业行为，引导教师坚守新时代教师职业行为十项准则，健全多元监督体系。突出典型树德，持续开展优秀教师典型事迹宣传,发掘师德典型、讲好师德故事，弘扬楷模，大力营造全社会尊师重教的良好氛围。</w:t>
      </w:r>
      <w:bookmarkEnd w:id="378"/>
      <w:bookmarkEnd w:id="379"/>
      <w:bookmarkEnd w:id="380"/>
    </w:p>
    <w:p>
      <w:pPr>
        <w:pStyle w:val="4"/>
        <w:wordWrap/>
        <w:spacing w:line="560" w:lineRule="exact"/>
        <w:ind w:right="0" w:firstLine="640"/>
        <w:jc w:val="both"/>
        <w:rPr>
          <w:rFonts w:hint="eastAsia" w:ascii="仿宋_GB2312" w:hAnsi="仿宋_GB2312" w:eastAsia="仿宋_GB2312" w:cs="仿宋_GB2312"/>
          <w:sz w:val="32"/>
          <w:szCs w:val="32"/>
        </w:rPr>
      </w:pPr>
      <w:bookmarkStart w:id="381" w:name="_Toc67038482"/>
      <w:bookmarkStart w:id="382" w:name="_Toc10718"/>
      <w:bookmarkStart w:id="383" w:name="_Toc13766"/>
      <w:bookmarkStart w:id="384" w:name="_Toc25037"/>
      <w:bookmarkStart w:id="385" w:name="_Toc30184"/>
      <w:bookmarkStart w:id="386" w:name="_Toc12467"/>
      <w:r>
        <w:rPr>
          <w:rFonts w:hint="eastAsia" w:ascii="仿宋_GB2312" w:hAnsi="仿宋_GB2312" w:eastAsia="仿宋_GB2312" w:cs="仿宋_GB2312"/>
          <w:sz w:val="32"/>
          <w:szCs w:val="32"/>
        </w:rPr>
        <w:t>2.加强教育人才队伍建设</w:t>
      </w:r>
      <w:bookmarkEnd w:id="381"/>
      <w:bookmarkEnd w:id="382"/>
      <w:bookmarkEnd w:id="383"/>
      <w:r>
        <w:rPr>
          <w:rFonts w:hint="eastAsia" w:ascii="仿宋_GB2312" w:hAnsi="仿宋_GB2312" w:eastAsia="仿宋_GB2312" w:cs="仿宋_GB2312"/>
          <w:sz w:val="32"/>
          <w:szCs w:val="32"/>
        </w:rPr>
        <w:t>。</w:t>
      </w:r>
      <w:bookmarkEnd w:id="384"/>
      <w:bookmarkEnd w:id="385"/>
      <w:bookmarkEnd w:id="386"/>
    </w:p>
    <w:p>
      <w:pPr>
        <w:wordWrap/>
        <w:spacing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建设一支学者型教育家型校长队伍。</w:t>
      </w:r>
      <w:r>
        <w:rPr>
          <w:rFonts w:hint="eastAsia" w:ascii="仿宋_GB2312" w:hAnsi="仿宋_GB2312" w:eastAsia="仿宋_GB2312" w:cs="仿宋_GB2312"/>
          <w:sz w:val="32"/>
          <w:szCs w:val="32"/>
        </w:rPr>
        <w:t>继续推进学校去行政化，推行校长职级制改革。积极探索“多校联聘”“一校长多校区”“乡村校长联盟”等机制，建立校（园）长后备人才管理制度，完善校长任期目标责任制，推进校长双向交流挂职工作，加快校（园）长职业成长。实施清远市校长培养提升工程，长效跟踪培养专家型校长，切实做好名校长领航工程，发挥名校长的骨干、示范、辐射、带动作用，围绕建设规划、学习提升、课题研究、成果培育推广进行全方位的交流分享，提升校长办学治校能力。</w:t>
      </w:r>
    </w:p>
    <w:p>
      <w:pPr>
        <w:wordWrap/>
        <w:spacing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建设一支高素质幼儿教师队伍。</w:t>
      </w:r>
      <w:r>
        <w:rPr>
          <w:rFonts w:hint="eastAsia" w:ascii="仿宋_GB2312" w:hAnsi="仿宋_GB2312" w:eastAsia="仿宋_GB2312" w:cs="仿宋_GB2312"/>
          <w:sz w:val="32"/>
          <w:szCs w:val="32"/>
        </w:rPr>
        <w:t>进一步健全幼儿园园长、教师培训制度，根据国家、省培训计划完善市、县培训统筹，增强培训针对性和实效性。市、县两级“强师工程”经费用于学前教育方面的比例逐步提高，重点加强师德师风全员培训、未成年人保护方面的法律培训、非学前教育专业教师培训、薄弱师资（农村、民办、学历未达标、未持证等）专业提升培训等，切实提高幼儿园教师学历达标率、持证上岗率和科学保教能力。</w:t>
      </w:r>
    </w:p>
    <w:p>
      <w:pPr>
        <w:wordWrap/>
        <w:spacing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建设一支高素质专业化创新型基础教育教师队伍。</w:t>
      </w:r>
      <w:r>
        <w:rPr>
          <w:rFonts w:hint="eastAsia" w:ascii="仿宋_GB2312" w:hAnsi="仿宋_GB2312" w:eastAsia="仿宋_GB2312" w:cs="仿宋_GB2312"/>
          <w:sz w:val="32"/>
          <w:szCs w:val="32"/>
        </w:rPr>
        <w:t>全面落实基础教育高质量发展工作方案，补齐基础教育教师队伍短板。以实践为导向优化教师教育课程体系，加强紧缺薄弱学科教师、特殊教育教师和民族地区教师培养。建立和创新班主任工作机制,完善班主任任职资格制度、班主任选聘及任免制度、学习交流和研究制度，将班主任工作经历作为评聘高一级专业技术职务的必备条件，班主任工作量按当地教师标准课时工作量一半计算。为义务教育学校培养素质全面、业务见长的本科层次教师，为高中阶段教育学校侧重培养专业突出、底蕴深厚的研究生层次教师。落实公费定向培养中小学教师计划，加大力度配齐配强体育、美育、音乐、美术等紧缺学科教师。配齐配足思想政治理论课教师以及特殊教育学校教师和普通学校特殊教育专兼职资源教师、职业院校专业教师。落实学生规模1000人以上的中学、1200人以上的小学的专职心理教师配备要求。设分校区的学校，每个独立校区至少配备1名以上专职心理教师要求。开展中小学教师全员培训，促进教师终身学习和专业发展。转变培训方式，推动信息技术与教师培训的有机融合，实行线上线下相结合的混合式研修，改进培训内容，引入混合式教学、移动终端教学等现代教学模式和理念，构建优质课程资源共享新格局。推行培训自主选学，实行培训学分管理，建立培训学分银行。建立健全地方教师发展机构和专业培训者队伍，完成县级教师发展机构建设与改革，鼓励教师海外研修访学。</w:t>
      </w:r>
      <w:bookmarkStart w:id="387" w:name="_Toc18873"/>
      <w:bookmarkStart w:id="388" w:name="_Toc31321"/>
      <w:bookmarkStart w:id="389" w:name="_Toc67038483"/>
    </w:p>
    <w:p>
      <w:pPr>
        <w:widowControl/>
        <w:wordWrap/>
        <w:adjustRightInd/>
        <w:snapToGrid/>
        <w:spacing w:line="560"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bookmarkStart w:id="390" w:name="_Toc7581"/>
      <w:bookmarkStart w:id="391" w:name="_Toc29104"/>
      <w:bookmarkStart w:id="392" w:name="_Toc31638"/>
      <w:r>
        <w:rPr>
          <w:rFonts w:hint="eastAsia" w:ascii="仿宋_GB2312" w:hAnsi="仿宋_GB2312" w:eastAsia="仿宋_GB2312" w:cs="仿宋_GB2312"/>
          <w:b/>
          <w:bCs/>
          <w:sz w:val="32"/>
          <w:szCs w:val="32"/>
        </w:rPr>
        <w:t>打造一支高素质的教研队伍。</w:t>
      </w:r>
      <w:bookmarkEnd w:id="387"/>
      <w:bookmarkEnd w:id="388"/>
      <w:bookmarkEnd w:id="389"/>
      <w:r>
        <w:rPr>
          <w:rFonts w:hint="eastAsia" w:ascii="仿宋_GB2312" w:hAnsi="仿宋_GB2312" w:eastAsia="仿宋_GB2312" w:cs="仿宋_GB2312"/>
          <w:sz w:val="32"/>
          <w:szCs w:val="32"/>
        </w:rPr>
        <w:t>全面</w:t>
      </w:r>
      <w:bookmarkEnd w:id="390"/>
      <w:bookmarkEnd w:id="391"/>
      <w:bookmarkEnd w:id="392"/>
      <w:r>
        <w:rPr>
          <w:rFonts w:hint="eastAsia" w:ascii="仿宋_GB2312" w:hAnsi="仿宋_GB2312" w:eastAsia="仿宋_GB2312" w:cs="仿宋_GB2312"/>
          <w:sz w:val="32"/>
          <w:szCs w:val="32"/>
        </w:rPr>
        <w:t>完成市县教师发展中心建设。健全市级、县（市、区）、校三级教研工作网络体系。完善教研员准入、考核激励、专业发展、顶岗和退出机制。县级以上教研机构按学段、学科和专门教育配齐43名专职教研员；充分利用本地高等学校、科研机构、协会机构等专业人才资源，配备专职和兼职特殊教育、劳动教育、心理教育、美育教育、体育教育、职业教育教研员；探索聘用企业技术技能人才为职业教育兼职教研员，优化教研员岗位结构比例。制定对教师的教育科研项目的具体要求，构建教育科研引领教师专业发展的新“三名”工作室评价制度、研训一体化服务的培训学时学分转化制度。健全教研员全员培训制度和3年一周期教研能力提升研修机制，将教研员纳入教师“国培计划”“省培计划”。将教研工作作为市县政府履行教育职责评价重要内容。积极推进“互联网+教研”新模式，打造网络教研共同体，提升课程改革、评价改革等教研服务指导水平。以名师工作室为载体，通过研训一体化项目的建设，构建跨校、跨学段甚至跨学科的新型教研学习共同体。</w:t>
      </w:r>
    </w:p>
    <w:p>
      <w:pPr>
        <w:widowControl/>
        <w:wordWrap/>
        <w:adjustRightInd/>
        <w:snapToGrid/>
        <w:spacing w:line="560"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bookmarkStart w:id="393" w:name="_Toc12192"/>
      <w:r>
        <w:rPr>
          <w:rFonts w:hint="eastAsia" w:ascii="仿宋_GB2312" w:hAnsi="仿宋_GB2312" w:eastAsia="仿宋_GB2312" w:cs="仿宋_GB2312"/>
          <w:b/>
          <w:bCs/>
          <w:sz w:val="32"/>
          <w:szCs w:val="32"/>
        </w:rPr>
        <w:t>打造一支高素质的“双师型”职业教师队伍。</w:t>
      </w:r>
      <w:r>
        <w:rPr>
          <w:rFonts w:hint="eastAsia" w:ascii="仿宋_GB2312" w:hAnsi="仿宋_GB2312" w:eastAsia="仿宋_GB2312" w:cs="仿宋_GB2312"/>
          <w:sz w:val="32"/>
          <w:szCs w:val="32"/>
        </w:rPr>
        <w:t>强化顶层制度建设，构建政府统筹管理、行业企业和院校深度融合的教师队伍建设制度体系，完善教师培养培训体系，推进“双师型”教师培养培训基地建设，健全协调沟通机制，将工作成效纳入年度考核目标。积极推进职业学校教师素质提升工程，落实5年一轮的教师企业培训制度。按照1+X证书制度试点和职业教育改革需求，探索教师分级培训模式。完善人才引进政策和职业院校自主聘任兼职教师相关制度，畅通企业行业高技能人才和学校教师的双向流动，通过内培外引多举并措，优化师资结构，提高教师素质。完善绩效工资制度，激发教师的积极性。深化产教融合，促进教学过程、教学内容、教学模式改革创新，实施团队合作模块化教学，充分发挥专业工作室的示范、引领和辐射作用，建设一批高水平的教师教学创新团队。争取到2025年，政府、行业企业和院校协同推进“双师型”教师队伍建设的体系基本建成，建设一批“双师型”教师培养培训基地。高素质“双师型”教师占专业课教师比例达到60%以上，企业兼职教师比例不低于20%。打造一批业务水平精湛的高水平高素质的教学创新团队。</w:t>
      </w:r>
      <w:bookmarkEnd w:id="393"/>
    </w:p>
    <w:p>
      <w:pPr>
        <w:pStyle w:val="19"/>
        <w:wordWrap/>
        <w:spacing w:beforeAutospacing="0" w:afterAutospacing="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打造一支专业化的督学队伍。</w:t>
      </w:r>
      <w:r>
        <w:rPr>
          <w:rFonts w:hint="eastAsia" w:ascii="仿宋_GB2312" w:hAnsi="仿宋_GB2312" w:eastAsia="仿宋_GB2312" w:cs="仿宋_GB2312"/>
          <w:sz w:val="32"/>
          <w:szCs w:val="32"/>
        </w:rPr>
        <w:t>完善督导机构设置及人员配置，定期开展督学专项培训。规范学校督导的基本流程，完善督学准入机制、聘请机制和淘汰机制以及督学责任区建设考评机制，力争到2022年实现省级挂牌督学创新区零突破。加强教育督导与信息化的融合，力争2022年基本实行督学责任区和学校督导网格化管理。完善教育督导通报制度，强化教育督导结果运用。</w:t>
      </w:r>
    </w:p>
    <w:p>
      <w:pPr>
        <w:pStyle w:val="4"/>
        <w:wordWrap/>
        <w:spacing w:line="560" w:lineRule="exact"/>
        <w:ind w:right="0" w:firstLine="640"/>
        <w:jc w:val="both"/>
        <w:rPr>
          <w:rFonts w:hint="eastAsia" w:ascii="仿宋_GB2312" w:hAnsi="仿宋_GB2312" w:eastAsia="仿宋_GB2312" w:cs="仿宋_GB2312"/>
          <w:sz w:val="32"/>
          <w:szCs w:val="32"/>
        </w:rPr>
      </w:pPr>
      <w:bookmarkStart w:id="394" w:name="_Toc67038484"/>
      <w:bookmarkStart w:id="395" w:name="_Toc22211"/>
      <w:bookmarkStart w:id="396" w:name="_Toc3254"/>
      <w:bookmarkStart w:id="397" w:name="_Toc30512"/>
      <w:bookmarkStart w:id="398" w:name="_Toc2184"/>
      <w:r>
        <w:rPr>
          <w:rFonts w:hint="eastAsia" w:ascii="仿宋_GB2312" w:hAnsi="仿宋_GB2312" w:eastAsia="仿宋_GB2312" w:cs="仿宋_GB2312"/>
          <w:sz w:val="32"/>
          <w:szCs w:val="32"/>
        </w:rPr>
        <w:t>3.创新教师培养模式</w:t>
      </w:r>
      <w:bookmarkEnd w:id="394"/>
      <w:bookmarkEnd w:id="395"/>
      <w:r>
        <w:rPr>
          <w:rFonts w:hint="eastAsia" w:ascii="仿宋_GB2312" w:hAnsi="仿宋_GB2312" w:eastAsia="仿宋_GB2312" w:cs="仿宋_GB2312"/>
          <w:sz w:val="32"/>
          <w:szCs w:val="32"/>
        </w:rPr>
        <w:t>。</w:t>
      </w:r>
      <w:bookmarkEnd w:id="396"/>
      <w:bookmarkEnd w:id="397"/>
      <w:bookmarkEnd w:id="398"/>
      <w:r>
        <w:rPr>
          <w:rFonts w:hint="eastAsia" w:ascii="仿宋_GB2312" w:hAnsi="仿宋_GB2312" w:eastAsia="仿宋_GB2312" w:cs="仿宋_GB2312"/>
          <w:sz w:val="32"/>
          <w:szCs w:val="32"/>
        </w:rPr>
        <w:t xml:space="preserve"> </w:t>
      </w:r>
    </w:p>
    <w:p>
      <w:pPr>
        <w:widowControl w:val="0"/>
        <w:wordWrap/>
        <w:spacing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加大高层次教育人才培养引进力度。</w:t>
      </w:r>
      <w:r>
        <w:rPr>
          <w:rFonts w:hint="eastAsia" w:ascii="仿宋_GB2312" w:hAnsi="仿宋_GB2312" w:eastAsia="仿宋_GB2312" w:cs="仿宋_GB2312"/>
          <w:sz w:val="32"/>
          <w:szCs w:val="32"/>
        </w:rPr>
        <w:t>打破现行体制机制障碍，鼓励清远高层次人才引进政策适当向教育倾斜。简化招聘流程，可采取直接面试、考察等方式招聘高层次和紧缺人才。各县（市、区）每年应安排一定数量编制，用于招聘或引进紧缺学科教师，积极与相关院校采取定向招生、定向培养等方式，为乡村学校及教学点培养“一专多能”教师。对职业教育引进的特殊高技能人才（含具有高级工以上职业资格或职业技能等级人员）可适当放宽学历要求。完善职业院校聘请能工巧匠专兼职教师政策，实施“职业教育名师计划”，引进一批一流专家、专业带头人和创新团队。各级政府按标准配备配齐学校卫生专业技术人员，可通过政府购买服务方式建设专兼职结合的校医等教学辅助及教学岗位人才队伍。</w:t>
      </w:r>
      <w:bookmarkStart w:id="399" w:name="_Toc10629"/>
      <w:bookmarkStart w:id="400" w:name="_Toc11101"/>
      <w:r>
        <w:rPr>
          <w:rFonts w:hint="eastAsia" w:ascii="仿宋_GB2312" w:hAnsi="仿宋_GB2312" w:eastAsia="仿宋_GB2312" w:cs="仿宋_GB2312"/>
          <w:sz w:val="32"/>
          <w:szCs w:val="32"/>
        </w:rPr>
        <w:t xml:space="preserve"> 全力推动落实基础教育高质量发展工作方案，</w:t>
      </w:r>
      <w:bookmarkEnd w:id="399"/>
      <w:bookmarkEnd w:id="400"/>
      <w:bookmarkStart w:id="401" w:name="_Toc15673"/>
      <w:bookmarkStart w:id="402" w:name="_Toc1769"/>
      <w:bookmarkStart w:id="403" w:name="_Toc15835"/>
      <w:bookmarkStart w:id="404" w:name="_Toc27462"/>
      <w:bookmarkStart w:id="405" w:name="_Toc31674"/>
      <w:bookmarkStart w:id="406" w:name="_Toc67038486"/>
      <w:bookmarkStart w:id="407" w:name="_Toc5478"/>
    </w:p>
    <w:p>
      <w:pPr>
        <w:wordWrap/>
        <w:spacing w:line="560" w:lineRule="exact"/>
        <w:ind w:right="0" w:firstLine="640" w:firstLineChars="200"/>
        <w:jc w:val="both"/>
        <w:rPr>
          <w:rStyle w:val="35"/>
          <w:rFonts w:hint="eastAsia" w:ascii="仿宋_GB2312" w:hAnsi="仿宋_GB2312" w:eastAsia="仿宋_GB2312" w:cs="仿宋_GB2312"/>
          <w:sz w:val="32"/>
          <w:szCs w:val="32"/>
        </w:rPr>
      </w:pPr>
      <w:bookmarkStart w:id="408" w:name="_Toc17339"/>
      <w:bookmarkStart w:id="409" w:name="_Toc2200"/>
      <w:bookmarkStart w:id="410" w:name="_Toc7905"/>
      <w:r>
        <w:rPr>
          <w:rFonts w:hint="eastAsia" w:ascii="仿宋_GB2312" w:hAnsi="仿宋_GB2312" w:eastAsia="仿宋_GB2312" w:cs="仿宋_GB2312"/>
          <w:b/>
          <w:sz w:val="32"/>
          <w:szCs w:val="32"/>
        </w:rPr>
        <w:t>分层分类建设一批教师专业发展学校。</w:t>
      </w:r>
      <w:bookmarkEnd w:id="401"/>
      <w:bookmarkEnd w:id="402"/>
      <w:bookmarkEnd w:id="403"/>
      <w:bookmarkEnd w:id="404"/>
      <w:bookmarkEnd w:id="405"/>
      <w:bookmarkEnd w:id="406"/>
      <w:bookmarkEnd w:id="407"/>
      <w:bookmarkEnd w:id="408"/>
      <w:bookmarkEnd w:id="409"/>
      <w:bookmarkEnd w:id="410"/>
      <w:r>
        <w:rPr>
          <w:rFonts w:hint="eastAsia" w:ascii="仿宋_GB2312" w:hAnsi="仿宋_GB2312" w:eastAsia="仿宋_GB2312" w:cs="仿宋_GB2312"/>
          <w:sz w:val="32"/>
          <w:szCs w:val="32"/>
        </w:rPr>
        <w:t>依托教师发展中心这一载体，通过整合高等学校、市、县级教师发展中心和中小学校优质资源，建立教师校长专业发展支持服务体系，完善师资培训体系，提高师资培训的针对性和实效性。各市、县（区）教育部门，规划安排本地区比较有代表性的学校作为种子学校首批加入，成立教师专业发展学校。以本地高校为龙头，依托本地及附近地区的高校资源，建立政府—高校—中小学协同培养体系。针对参与学校布点、层次、发展需求不同，实现在规划制定、项目合作、课程开发、师资互聘、交流培训、文化建设、成果推广、顶岗实习等不同方面的精准服务。建设以信息化手段为支撑的教师专业发展支持系统，以高校为核心，开展教师专业发展学校运作机制的探索，构建远距离、跨学科、跨地域、无时限、立体化、多媒体共建共享教育教学资源和教学经验，形成高校引领的教师阶梯式专业成长新格局。</w:t>
      </w:r>
      <w:bookmarkStart w:id="411" w:name="_Toc11307"/>
      <w:bookmarkStart w:id="412" w:name="_Toc1497"/>
    </w:p>
    <w:bookmarkEnd w:id="411"/>
    <w:bookmarkEnd w:id="412"/>
    <w:p>
      <w:pPr>
        <w:wordWrap/>
        <w:spacing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建立“纵横联动”的新型教育智库，为教育治理现代化和内涵式发展提供智力支撑。</w:t>
      </w:r>
      <w:r>
        <w:rPr>
          <w:rFonts w:hint="eastAsia" w:ascii="仿宋_GB2312" w:hAnsi="仿宋_GB2312" w:eastAsia="仿宋_GB2312" w:cs="仿宋_GB2312"/>
          <w:sz w:val="32"/>
          <w:szCs w:val="32"/>
        </w:rPr>
        <w:t>成立以教育领域的专家、学者为主，以跨界、多层次的其他学科专家、学者为补充的智库组织。纵向加强与国家级、省级教育智库的战略合作，横向与区域内外高等院校、科研机构和专业社会组织联动。名校长、名教师、名班主任工作室主持人等卓越教育工作者均成为教育智库成员，构建为本地教育教学发展提供专业化、全方位、多层次、宽领域的研究服务体系。通过政府购买服务，聘请智库成员为教研导师，充分发挥他们的专业和紧密联系教学机构的优势，将他们的思想、理念、经验和方法渗透到教育教学工作一线，为教育决策和理论的实践发展培养和储备人才。</w:t>
      </w:r>
    </w:p>
    <w:p>
      <w:pPr>
        <w:widowControl w:val="0"/>
        <w:wordWrap/>
        <w:spacing w:line="560" w:lineRule="exact"/>
        <w:ind w:left="420" w:leftChars="200" w:right="0"/>
        <w:jc w:val="both"/>
        <w:rPr>
          <w:rStyle w:val="35"/>
          <w:rFonts w:hint="eastAsia" w:ascii="仿宋_GB2312" w:hAnsi="仿宋_GB2312" w:eastAsia="仿宋_GB2312" w:cs="仿宋_GB2312"/>
          <w:sz w:val="32"/>
          <w:szCs w:val="32"/>
        </w:rPr>
      </w:pPr>
      <w:bookmarkStart w:id="413" w:name="_Toc3560"/>
      <w:bookmarkStart w:id="414" w:name="_Toc2395"/>
      <w:bookmarkStart w:id="415" w:name="_Toc10955"/>
      <w:r>
        <w:rPr>
          <w:rStyle w:val="35"/>
          <w:rFonts w:hint="eastAsia" w:ascii="仿宋_GB2312" w:hAnsi="仿宋_GB2312" w:eastAsia="仿宋_GB2312" w:cs="仿宋_GB2312"/>
          <w:sz w:val="32"/>
          <w:szCs w:val="32"/>
        </w:rPr>
        <w:t>4.切实维护和保障教师的合法权益。</w:t>
      </w:r>
    </w:p>
    <w:bookmarkEnd w:id="413"/>
    <w:bookmarkEnd w:id="414"/>
    <w:bookmarkEnd w:id="415"/>
    <w:p>
      <w:pPr>
        <w:widowControl w:val="0"/>
        <w:wordWrap/>
        <w:spacing w:line="560" w:lineRule="exact"/>
        <w:ind w:right="0" w:firstLine="63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大力提升教师社会地位。</w:t>
      </w:r>
      <w:r>
        <w:rPr>
          <w:rFonts w:hint="eastAsia" w:ascii="仿宋_GB2312" w:hAnsi="仿宋_GB2312" w:eastAsia="仿宋_GB2312" w:cs="仿宋_GB2312"/>
          <w:sz w:val="32"/>
          <w:szCs w:val="32"/>
        </w:rPr>
        <w:t>完善教育改革发展重大事项、重要节庆日活动邀请教师代表参与的制度。健全多元教师荣誉表扬体系，完善教师表扬奖励及管理办法，加强对荣誉获得者后续支持服务。鼓励社会团体、企事业单位、民间组织对教师出资奖励。建立困难教师关爱帮扶制度。全面实行校务公开制度，保障教职工参与学校管理、监督的权利。</w:t>
      </w:r>
      <w:r>
        <w:rPr>
          <w:rFonts w:hint="eastAsia" w:ascii="仿宋_GB2312" w:hAnsi="仿宋_GB2312" w:eastAsia="仿宋_GB2312" w:cs="仿宋_GB2312"/>
          <w:b/>
          <w:bCs/>
          <w:sz w:val="32"/>
          <w:szCs w:val="32"/>
        </w:rPr>
        <w:t>完善教师待遇保障机制。</w:t>
      </w:r>
      <w:r>
        <w:rPr>
          <w:rFonts w:hint="eastAsia" w:ascii="仿宋_GB2312" w:hAnsi="仿宋_GB2312" w:eastAsia="仿宋_GB2312" w:cs="仿宋_GB2312"/>
          <w:sz w:val="32"/>
          <w:szCs w:val="32"/>
        </w:rPr>
        <w:t>健全中小学教师工资收入随当地公务员工资收入动态调整机制，确保县域内中小学教师平均工资收入水平不低于或高于当地公务员平均工资收入水平，县域内农村中小学教师平均工资收入水平不低于或高于当地城镇教师平均工资收入水平。完善绩效工资分配激励机制，向班主任、特殊教育、体育、美育教师倾斜。落实特殊教育学校及普通学校（幼儿园）特教班教师的特殊教育津贴。</w:t>
      </w:r>
    </w:p>
    <w:p>
      <w:pPr>
        <w:widowControl w:val="0"/>
        <w:wordWrap/>
        <w:spacing w:line="560" w:lineRule="exact"/>
        <w:ind w:right="0" w:firstLine="63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大力提升乡村教师待遇。</w:t>
      </w:r>
      <w:r>
        <w:rPr>
          <w:rFonts w:hint="eastAsia" w:ascii="仿宋_GB2312" w:hAnsi="仿宋_GB2312" w:eastAsia="仿宋_GB2312" w:cs="仿宋_GB2312"/>
          <w:sz w:val="32"/>
          <w:szCs w:val="32"/>
        </w:rPr>
        <w:t>全面推动乡村教育振兴行动计划，落实高校毕业生到乡村从教上岗退费政策，落实山区和农村边远地区学校教师生活补助政策，鼓励有条件的地方提高补助标准。在业务培训、职称评聘、表彰表扬等方面向乡村教师倾斜。加快乡村教师周转宿舍建设工作，为乡村教师配备相应设施，丰富精神文化生活，优化乡村教师发展环境。</w:t>
      </w:r>
    </w:p>
    <w:p>
      <w:pPr>
        <w:widowControl w:val="0"/>
        <w:wordWrap/>
        <w:spacing w:line="56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维护民办学校教师合法权益。</w:t>
      </w:r>
      <w:r>
        <w:rPr>
          <w:rFonts w:hint="eastAsia" w:ascii="仿宋_GB2312" w:hAnsi="仿宋_GB2312" w:eastAsia="仿宋_GB2312" w:cs="仿宋_GB2312"/>
          <w:sz w:val="32"/>
          <w:szCs w:val="32"/>
        </w:rPr>
        <w:t>民办学校应与教师依法签订合同，按时足额支付工资，并为教师足额缴纳社会保险费和住房公积金。民办学校每年应安排专项经费用于教师继续教育及能力提升。民办学校教师培养培训纳入全市教师队伍培养培训统一规划，在业务培训、职务聘任、推优表扬、科研立项等方面享有与公办学校教师同等权利。</w:t>
      </w:r>
    </w:p>
    <w:p>
      <w:pPr>
        <w:spacing w:line="560" w:lineRule="exact"/>
        <w:ind w:firstLine="640" w:firstLineChars="200"/>
        <w:rPr>
          <w:rFonts w:ascii="仿宋_GB2312" w:eastAsia="仿宋_GB2312"/>
          <w:sz w:val="32"/>
          <w:szCs w:val="32"/>
        </w:rPr>
      </w:pPr>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9</w:t>
            </w:r>
            <w:r>
              <w:rPr>
                <w:rFonts w:ascii="Times New Roman" w:hAnsi="Times New Roman" w:eastAsia="仿宋_GB2312" w:cs="Times New Roman"/>
                <w:b/>
                <w:color w:val="000000"/>
                <w:sz w:val="28"/>
                <w:szCs w:val="28"/>
              </w:rPr>
              <w:t>：</w:t>
            </w:r>
            <w:r>
              <w:rPr>
                <w:rFonts w:hint="eastAsia" w:ascii="Times New Roman" w:hAnsi="Times New Roman" w:eastAsia="仿宋_GB2312" w:cs="Times New Roman"/>
                <w:b/>
                <w:color w:val="000000"/>
                <w:sz w:val="28"/>
                <w:szCs w:val="28"/>
              </w:rPr>
              <w:t>教师队伍建设行动计划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spacing w:line="360" w:lineRule="exact"/>
              <w:ind w:firstLine="560" w:firstLineChars="200"/>
              <w:rPr>
                <w:rFonts w:ascii="Times New Roman" w:hAnsi="Times New Roman" w:eastAsia="仿宋_GB2312" w:cs="Times New Roman"/>
                <w:b/>
                <w:bCs/>
                <w:sz w:val="28"/>
                <w:szCs w:val="28"/>
              </w:rPr>
            </w:pPr>
          </w:p>
          <w:p>
            <w:pPr>
              <w:adjustRightInd w:val="0"/>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1.建设新时代教师发展体系。全面提升教师队伍素质，</w:t>
            </w:r>
            <w:r>
              <w:rPr>
                <w:rFonts w:ascii="Times New Roman" w:hAnsi="Times New Roman" w:eastAsia="仿宋_GB2312" w:cs="Times New Roman"/>
                <w:sz w:val="28"/>
                <w:szCs w:val="28"/>
              </w:rPr>
              <w:t>到2025年，幼儿园专科以上学历教师比例达到93%，小学和初中本科以上学历教师比例分别达到83%和96%，高中阶段学校硕士研究生以上学历教师比例达到</w:t>
            </w:r>
            <w:r>
              <w:rPr>
                <w:rFonts w:hint="eastAsia" w:ascii="Times New Roman" w:hAnsi="Times New Roman" w:eastAsia="仿宋_GB2312" w:cs="Times New Roman"/>
                <w:sz w:val="28"/>
                <w:szCs w:val="28"/>
              </w:rPr>
              <w:t>15</w:t>
            </w:r>
            <w:r>
              <w:rPr>
                <w:rFonts w:ascii="Times New Roman" w:hAnsi="Times New Roman" w:eastAsia="仿宋_GB2312" w:cs="Times New Roman"/>
                <w:sz w:val="28"/>
                <w:szCs w:val="28"/>
              </w:rPr>
              <w:t>%，高职院校硕士以上学位教师比例达到68%。</w:t>
            </w:r>
          </w:p>
          <w:p>
            <w:pPr>
              <w:adjustRightInd w:val="0"/>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2.深入推进“新师范”建设。</w:t>
            </w:r>
            <w:r>
              <w:rPr>
                <w:rFonts w:ascii="Times New Roman" w:hAnsi="Times New Roman" w:eastAsia="仿宋_GB2312" w:cs="Times New Roman"/>
                <w:sz w:val="28"/>
                <w:szCs w:val="28"/>
              </w:rPr>
              <w:t>支持清远职业技术学院举办清远所需的紧缺师范类专业，如学前教育、图音美体、信息技术教育等专业，把基础教育国家课程方案、标准和教材引入师范类专业教学，引导师范生开展基础教育教学研究。开展师范类专业认证，深化教师教育专业、课程和师资队伍建设。</w:t>
            </w:r>
          </w:p>
          <w:p>
            <w:pPr>
              <w:adjustRightInd w:val="0"/>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3.完善教师专业发展支持体系，</w:t>
            </w:r>
            <w:r>
              <w:rPr>
                <w:rFonts w:ascii="Times New Roman" w:hAnsi="Times New Roman" w:eastAsia="仿宋_GB2312" w:cs="Times New Roman"/>
                <w:sz w:val="28"/>
                <w:szCs w:val="28"/>
              </w:rPr>
              <w:t>加强高层次教育人才队伍建设，深入实施中小学“百千万人才培养工程”，争取培养20名左右省级教育家型教师（培养周期3年），建立分层分类递进式的教师培训体系，每年市级平均培养不少于50名卓越教师，每个县（市、区）平均培养不少于100名骨干教师，建成100个市级名教师、名班主任、名校长工作室，加大县级名教师、名班主任、名校长工作室建设力度。到2025年，建成约20个省级名校长、名教师、名班主任工作室，建设1-2个省级以上“双师型”名教师、名校长、培训专家工作室和1-2个省级以上技能大师工作室；新增1-2个省级高职院校教学团队、争取建设1个国家级职业教育教师教学创新团队。支持有条件教师申报“珠江学者”和出国研修交流。</w:t>
            </w:r>
          </w:p>
          <w:p>
            <w:pPr>
              <w:adjustRightInd w:val="0"/>
              <w:snapToGrid w:val="0"/>
              <w:spacing w:line="3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4.建立健全新时代基础教育教研体系。</w:t>
            </w:r>
            <w:r>
              <w:rPr>
                <w:rFonts w:ascii="Times New Roman" w:hAnsi="Times New Roman" w:eastAsia="仿宋_GB2312" w:cs="Times New Roman"/>
                <w:sz w:val="28"/>
                <w:szCs w:val="28"/>
              </w:rPr>
              <w:t>健全省、地级以上市、县（市、区）、校四级教研工作体系，地级以上市及有条件的县（市、区）独立设置教研机构。有关县（市、区）教师发展中心要保持教研机构完整性与独立性。专职教研员在岗从事教研工作满5年，原则上要到中小学校（幼儿园）从事1学年以上教育教学工作。健全教研员全员培训制度和3年一周期教研能力提升研修机制。教研员和教师要积极参加线上或线下线上相结合的学科教研活动或主题教研活动。建设一批市、县（市、区）教研基地和校（园）本教研基地。遴选建设2-3所普通高中优质特色发展省级示范校。中小学校督学责任区中25%以上责任督学由教研员担任。</w:t>
            </w:r>
          </w:p>
          <w:p>
            <w:pPr>
              <w:adjustRightInd w:val="0"/>
              <w:snapToGrid w:val="0"/>
              <w:spacing w:line="360" w:lineRule="exact"/>
              <w:ind w:firstLine="560" w:firstLineChars="200"/>
              <w:rPr>
                <w:rFonts w:ascii="Times New Roman" w:hAnsi="Times New Roman" w:eastAsia="仿宋_GB2312" w:cs="Times New Roman"/>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p>
            <w:pPr>
              <w:adjustRightInd w:val="0"/>
              <w:snapToGrid w:val="0"/>
              <w:spacing w:line="360" w:lineRule="exact"/>
              <w:ind w:firstLine="560" w:firstLineChars="200"/>
              <w:rPr>
                <w:rFonts w:ascii="Times New Roman" w:hAnsi="Times New Roman" w:eastAsia="仿宋_GB2312" w:cs="Times New Roman"/>
                <w:sz w:val="28"/>
                <w:szCs w:val="28"/>
              </w:rPr>
            </w:pPr>
          </w:p>
        </w:tc>
      </w:tr>
    </w:tbl>
    <w:p>
      <w:pPr>
        <w:rPr>
          <w:rFonts w:ascii="Times New Roman" w:hAnsi="Times New Roman" w:cs="Times New Roman"/>
          <w:color w:val="000000"/>
        </w:rPr>
      </w:pPr>
    </w:p>
    <w:bookmarkEnd w:id="368"/>
    <w:bookmarkEnd w:id="369"/>
    <w:bookmarkEnd w:id="370"/>
    <w:p>
      <w:pPr>
        <w:pStyle w:val="2"/>
        <w:jc w:val="center"/>
        <w:rPr>
          <w:rFonts w:hint="default"/>
        </w:rPr>
      </w:pPr>
      <w:bookmarkStart w:id="416" w:name="_Toc67038492"/>
      <w:bookmarkStart w:id="417" w:name="_Toc23484"/>
      <w:bookmarkStart w:id="418" w:name="_Toc11549"/>
      <w:bookmarkStart w:id="419" w:name="_Toc22545"/>
      <w:bookmarkStart w:id="420" w:name="_Toc23529"/>
      <w:r>
        <w:rPr>
          <w:rFonts w:hint="default"/>
        </w:rPr>
        <w:t>五、深化教育领域改革开放</w:t>
      </w:r>
      <w:bookmarkEnd w:id="416"/>
      <w:bookmarkEnd w:id="417"/>
      <w:bookmarkEnd w:id="418"/>
      <w:bookmarkEnd w:id="419"/>
      <w:bookmarkEnd w:id="420"/>
    </w:p>
    <w:p>
      <w:pPr>
        <w:pStyle w:val="3"/>
        <w:ind w:firstLine="640"/>
        <w:rPr>
          <w:rFonts w:hint="eastAsia" w:ascii="楷体_GB2312" w:hAnsi="楷体_GB2312" w:eastAsia="楷体_GB2312" w:cs="楷体_GB2312"/>
        </w:rPr>
      </w:pPr>
      <w:bookmarkStart w:id="421" w:name="_Toc67038493"/>
      <w:bookmarkStart w:id="422" w:name="_Toc24353"/>
      <w:bookmarkStart w:id="423" w:name="_Toc25131"/>
      <w:bookmarkStart w:id="424" w:name="_Toc13308"/>
      <w:bookmarkStart w:id="425" w:name="_Toc26915"/>
      <w:bookmarkStart w:id="426" w:name="_Toc336"/>
      <w:bookmarkStart w:id="427" w:name="_Toc63619543"/>
      <w:r>
        <w:rPr>
          <w:rFonts w:hint="eastAsia" w:ascii="楷体_GB2312" w:hAnsi="楷体_GB2312" w:eastAsia="楷体_GB2312" w:cs="楷体_GB2312"/>
        </w:rPr>
        <w:t>（一）深化新时代教育评价改革</w:t>
      </w:r>
      <w:bookmarkEnd w:id="421"/>
      <w:bookmarkEnd w:id="422"/>
      <w:bookmarkEnd w:id="423"/>
      <w:bookmarkEnd w:id="424"/>
      <w:bookmarkEnd w:id="425"/>
      <w:bookmarkEnd w:id="426"/>
    </w:p>
    <w:p>
      <w:pPr>
        <w:spacing w:line="560" w:lineRule="exact"/>
        <w:ind w:firstLine="640" w:firstLineChars="200"/>
        <w:rPr>
          <w:rFonts w:hint="eastAsia" w:ascii="仿宋_GB2312" w:hAnsi="仿宋_GB2312" w:eastAsia="仿宋_GB2312" w:cs="仿宋_GB2312"/>
          <w:b/>
          <w:bCs/>
          <w:sz w:val="32"/>
          <w:szCs w:val="32"/>
        </w:rPr>
      </w:pPr>
      <w:bookmarkStart w:id="428" w:name="_Toc11708"/>
      <w:bookmarkStart w:id="429" w:name="_Toc9610"/>
      <w:bookmarkStart w:id="430" w:name="_Toc6360"/>
      <w:r>
        <w:rPr>
          <w:rStyle w:val="35"/>
          <w:rFonts w:hint="eastAsia" w:ascii="仿宋_GB2312" w:hAnsi="仿宋_GB2312" w:eastAsia="仿宋_GB2312" w:cs="仿宋_GB2312"/>
        </w:rPr>
        <w:t>1.以科学履职为导向推进党委和政府教育工作评价改革。</w:t>
      </w:r>
      <w:bookmarkEnd w:id="428"/>
      <w:bookmarkEnd w:id="429"/>
      <w:bookmarkEnd w:id="430"/>
      <w:r>
        <w:rPr>
          <w:rFonts w:hint="eastAsia" w:ascii="仿宋_GB2312" w:hAnsi="仿宋_GB2312" w:eastAsia="仿宋_GB2312" w:cs="仿宋_GB2312"/>
          <w:sz w:val="32"/>
          <w:szCs w:val="32"/>
        </w:rPr>
        <w:t>完善党对教育工作全面领导的体制机制,全面贯彻党的教育方针和党中央关于教育工作的决策部署。根据国家、省级层面确立的评价内容和指标，完善政府科学履行教育职责的评价体系，细化考核评价内容和指标,督促各级政府科学履责、尽职尽责，为教育发展提供保障条件。引导公众构建科学教育发展观、人才观。坚决破除育人选人用人“五唯”倾向。</w:t>
      </w:r>
    </w:p>
    <w:p>
      <w:pPr>
        <w:pStyle w:val="19"/>
        <w:spacing w:beforeAutospacing="0" w:afterAutospacing="0" w:line="560" w:lineRule="exact"/>
        <w:ind w:firstLine="640" w:firstLineChars="200"/>
        <w:jc w:val="both"/>
        <w:rPr>
          <w:rFonts w:hint="eastAsia" w:ascii="仿宋_GB2312" w:hAnsi="仿宋_GB2312" w:eastAsia="仿宋_GB2312" w:cs="仿宋_GB2312"/>
          <w:kern w:val="2"/>
          <w:sz w:val="32"/>
          <w:szCs w:val="32"/>
        </w:rPr>
      </w:pPr>
      <w:bookmarkStart w:id="431" w:name="_Toc27183"/>
      <w:bookmarkStart w:id="432" w:name="_Toc32636"/>
      <w:bookmarkStart w:id="433" w:name="_Toc18697"/>
      <w:r>
        <w:rPr>
          <w:rStyle w:val="35"/>
          <w:rFonts w:hint="eastAsia" w:ascii="仿宋_GB2312" w:hAnsi="仿宋_GB2312" w:eastAsia="仿宋_GB2312" w:cs="仿宋_GB2312"/>
          <w:kern w:val="2"/>
        </w:rPr>
        <w:t>2.以立德树人为导向推进学校评价改革。</w:t>
      </w:r>
      <w:bookmarkEnd w:id="431"/>
      <w:bookmarkEnd w:id="432"/>
      <w:bookmarkEnd w:id="433"/>
      <w:r>
        <w:rPr>
          <w:rFonts w:hint="eastAsia" w:ascii="仿宋_GB2312" w:hAnsi="仿宋_GB2312" w:eastAsia="仿宋_GB2312" w:cs="仿宋_GB2312"/>
          <w:sz w:val="32"/>
          <w:szCs w:val="32"/>
        </w:rPr>
        <w:t>加快完善各级各类学校质量评价标准和质量监测制度，健全学校内部质量保障制度，</w:t>
      </w:r>
      <w:commentRangeStart w:id="1"/>
      <w:r>
        <w:rPr>
          <w:rFonts w:hint="eastAsia" w:ascii="仿宋_GB2312" w:hAnsi="仿宋_GB2312" w:eastAsia="仿宋_GB2312" w:cs="仿宋_GB2312"/>
          <w:kern w:val="2"/>
          <w:sz w:val="32"/>
          <w:szCs w:val="32"/>
        </w:rPr>
        <w:t>加强评估与监测结果运用,促进学生核心素养和教育质量提升。</w:t>
      </w:r>
      <w:commentRangeEnd w:id="1"/>
      <w:r>
        <w:rPr>
          <w:rFonts w:hint="eastAsia" w:ascii="仿宋_GB2312" w:hAnsi="仿宋_GB2312" w:eastAsia="仿宋_GB2312" w:cs="仿宋_GB2312"/>
          <w:sz w:val="32"/>
          <w:szCs w:val="32"/>
        </w:rPr>
        <w:commentReference w:id="1"/>
      </w:r>
      <w:r>
        <w:rPr>
          <w:rFonts w:hint="eastAsia" w:ascii="仿宋_GB2312" w:hAnsi="仿宋_GB2312" w:eastAsia="仿宋_GB2312" w:cs="仿宋_GB2312"/>
          <w:kern w:val="2"/>
          <w:sz w:val="32"/>
          <w:szCs w:val="32"/>
        </w:rPr>
        <w:t>坚决克服重智育轻德育、重分数轻素质等片面办学行为，促进学生身心健康、全面发展。</w:t>
      </w:r>
    </w:p>
    <w:p>
      <w:pPr>
        <w:pStyle w:val="19"/>
        <w:spacing w:beforeAutospacing="0" w:afterAutospacing="0" w:line="560" w:lineRule="exact"/>
        <w:ind w:firstLine="640" w:firstLineChars="200"/>
        <w:jc w:val="both"/>
        <w:rPr>
          <w:rFonts w:hint="eastAsia" w:ascii="仿宋_GB2312" w:hAnsi="仿宋_GB2312" w:eastAsia="仿宋_GB2312" w:cs="仿宋_GB2312"/>
          <w:kern w:val="2"/>
          <w:sz w:val="32"/>
          <w:szCs w:val="32"/>
        </w:rPr>
      </w:pPr>
      <w:bookmarkStart w:id="434" w:name="_Toc20983"/>
      <w:bookmarkStart w:id="435" w:name="_Toc269"/>
      <w:bookmarkStart w:id="436" w:name="_Toc31383"/>
      <w:r>
        <w:rPr>
          <w:rStyle w:val="35"/>
          <w:rFonts w:hint="eastAsia" w:ascii="仿宋_GB2312" w:hAnsi="仿宋_GB2312" w:eastAsia="仿宋_GB2312" w:cs="仿宋_GB2312"/>
          <w:kern w:val="2"/>
        </w:rPr>
        <w:t>3.以教书育人为导向推进教师评价改革。</w:t>
      </w:r>
      <w:bookmarkEnd w:id="434"/>
      <w:bookmarkEnd w:id="435"/>
      <w:bookmarkEnd w:id="436"/>
      <w:r>
        <w:rPr>
          <w:rFonts w:hint="eastAsia" w:ascii="仿宋_GB2312" w:hAnsi="仿宋_GB2312" w:eastAsia="仿宋_GB2312" w:cs="仿宋_GB2312"/>
          <w:sz w:val="32"/>
          <w:szCs w:val="32"/>
        </w:rPr>
        <w:t>坚持把师德师风作为评价教师队伍素质的第一标准，完善评价标准,创新评价机制,规范评价结果使用。引导教师全面履行教书育人第一职责，完善教师绩效考核办法。坚持职称评审与岗位聘用制度有效衔接,规范评审程序,形成以师德师风、专业能力、教学实绩、社会贡献为导向和以社会、业内认可为核心的教师职称评价制度。</w:t>
      </w:r>
    </w:p>
    <w:p>
      <w:pPr>
        <w:pStyle w:val="19"/>
        <w:spacing w:beforeAutospacing="0" w:afterAutospacing="0" w:line="560" w:lineRule="exact"/>
        <w:ind w:firstLine="640" w:firstLineChars="200"/>
        <w:jc w:val="both"/>
        <w:rPr>
          <w:rFonts w:hint="eastAsia" w:ascii="仿宋_GB2312" w:hAnsi="仿宋_GB2312" w:eastAsia="仿宋_GB2312" w:cs="仿宋_GB2312"/>
          <w:kern w:val="2"/>
          <w:sz w:val="32"/>
          <w:szCs w:val="32"/>
        </w:rPr>
      </w:pPr>
      <w:bookmarkStart w:id="437" w:name="_Toc17467"/>
      <w:bookmarkStart w:id="438" w:name="_Toc22273"/>
      <w:bookmarkStart w:id="439" w:name="_Toc23808"/>
      <w:r>
        <w:rPr>
          <w:rStyle w:val="35"/>
          <w:rFonts w:hint="eastAsia" w:ascii="仿宋_GB2312" w:hAnsi="仿宋_GB2312" w:eastAsia="仿宋_GB2312" w:cs="仿宋_GB2312"/>
          <w:kern w:val="2"/>
        </w:rPr>
        <w:t>4.以全面发展为导向推进学生评价改革。</w:t>
      </w:r>
      <w:bookmarkEnd w:id="437"/>
      <w:bookmarkEnd w:id="438"/>
      <w:bookmarkEnd w:id="439"/>
      <w:r>
        <w:rPr>
          <w:rFonts w:hint="eastAsia" w:ascii="仿宋_GB2312" w:hAnsi="仿宋_GB2312" w:eastAsia="仿宋_GB2312" w:cs="仿宋_GB2312"/>
          <w:kern w:val="2"/>
          <w:sz w:val="32"/>
          <w:szCs w:val="32"/>
        </w:rPr>
        <w:t>以科学成才观念为引领，考试招生制度改革为抓手，构建引导学生德智体美劳全面发展的考试体系，创新德智体美劳过程性评价办法，完善综合素质评价体系，严格各级各类学校学生学业标准，完善过程性考核与结果性考核有机结合的学业考评制度，加强课堂参与和课堂纪律考查，引导学生树立良好学风。</w:t>
      </w:r>
    </w:p>
    <w:p>
      <w:pPr>
        <w:pStyle w:val="19"/>
        <w:spacing w:beforeAutospacing="0" w:afterAutospacing="0" w:line="560" w:lineRule="exact"/>
        <w:ind w:firstLine="640" w:firstLineChars="200"/>
        <w:jc w:val="both"/>
        <w:rPr>
          <w:rFonts w:hint="eastAsia" w:ascii="仿宋_GB2312" w:hAnsi="仿宋_GB2312" w:eastAsia="仿宋_GB2312" w:cs="仿宋_GB2312"/>
          <w:sz w:val="32"/>
          <w:szCs w:val="32"/>
        </w:rPr>
      </w:pPr>
      <w:bookmarkStart w:id="440" w:name="_Toc7772"/>
      <w:bookmarkStart w:id="441" w:name="_Toc18413"/>
      <w:bookmarkStart w:id="442" w:name="_Toc2601"/>
      <w:r>
        <w:rPr>
          <w:rStyle w:val="35"/>
          <w:rFonts w:hint="eastAsia" w:ascii="仿宋_GB2312" w:hAnsi="仿宋_GB2312" w:eastAsia="仿宋_GB2312" w:cs="仿宋_GB2312"/>
          <w:kern w:val="2"/>
        </w:rPr>
        <w:t>5.以品德和能力为导向推进用人评价改革。</w:t>
      </w:r>
      <w:bookmarkEnd w:id="440"/>
      <w:bookmarkEnd w:id="441"/>
      <w:bookmarkEnd w:id="442"/>
      <w:r>
        <w:rPr>
          <w:rFonts w:hint="eastAsia" w:ascii="仿宋_GB2312" w:hAnsi="仿宋_GB2312" w:eastAsia="仿宋_GB2312" w:cs="仿宋_GB2312"/>
          <w:sz w:val="32"/>
          <w:szCs w:val="32"/>
        </w:rPr>
        <w:t>建立以品德和能力为导向、以岗位需求为目标的人才使用机制，反对歧视性就业政策和做法,改变人才“高消费”状况，形成不拘一格降人才的良好局面，共同营造促进教育发展良好生态。</w:t>
      </w:r>
    </w:p>
    <w:p>
      <w:pPr>
        <w:pStyle w:val="3"/>
        <w:ind w:firstLine="640"/>
        <w:rPr>
          <w:rFonts w:hint="eastAsia" w:ascii="楷体_GB2312" w:hAnsi="楷体_GB2312" w:eastAsia="楷体_GB2312" w:cs="楷体_GB2312"/>
        </w:rPr>
      </w:pPr>
      <w:bookmarkStart w:id="443" w:name="_Toc17485"/>
      <w:bookmarkStart w:id="444" w:name="_Toc67038494"/>
      <w:bookmarkStart w:id="445" w:name="_Toc22227"/>
      <w:bookmarkStart w:id="446" w:name="_Toc13570"/>
      <w:bookmarkStart w:id="447" w:name="_Toc5508"/>
      <w:r>
        <w:rPr>
          <w:rFonts w:hint="eastAsia" w:ascii="楷体_GB2312" w:hAnsi="楷体_GB2312" w:eastAsia="楷体_GB2312" w:cs="楷体_GB2312"/>
        </w:rPr>
        <w:t>（二）深化办学体制和管理体制改革</w:t>
      </w:r>
      <w:bookmarkEnd w:id="443"/>
      <w:bookmarkEnd w:id="444"/>
      <w:bookmarkEnd w:id="445"/>
      <w:bookmarkEnd w:id="446"/>
      <w:bookmarkEnd w:id="447"/>
    </w:p>
    <w:p>
      <w:pPr>
        <w:adjustRightInd w:val="0"/>
        <w:snapToGrid w:val="0"/>
        <w:spacing w:line="560" w:lineRule="exact"/>
        <w:ind w:firstLine="640" w:firstLineChars="200"/>
        <w:rPr>
          <w:rFonts w:hint="eastAsia" w:ascii="仿宋_GB2312" w:hAnsi="仿宋_GB2312" w:eastAsia="仿宋_GB2312" w:cs="仿宋_GB2312"/>
          <w:color w:val="FF0000"/>
          <w:sz w:val="32"/>
          <w:szCs w:val="32"/>
        </w:rPr>
      </w:pPr>
      <w:bookmarkStart w:id="448" w:name="_Toc30610"/>
      <w:bookmarkStart w:id="449" w:name="_Toc25442"/>
      <w:bookmarkStart w:id="450" w:name="_Toc8601"/>
      <w:bookmarkStart w:id="451" w:name="_Toc67038495"/>
      <w:r>
        <w:rPr>
          <w:rStyle w:val="35"/>
          <w:rFonts w:hint="eastAsia" w:ascii="仿宋_GB2312" w:hAnsi="仿宋_GB2312" w:eastAsia="仿宋_GB2312" w:cs="仿宋_GB2312"/>
        </w:rPr>
        <w:t>1.全面推进集团化办学模式改革。</w:t>
      </w:r>
      <w:bookmarkEnd w:id="448"/>
      <w:r>
        <w:rPr>
          <w:rFonts w:hint="eastAsia" w:ascii="仿宋_GB2312" w:hAnsi="仿宋_GB2312" w:eastAsia="仿宋_GB2312" w:cs="仿宋_GB2312"/>
          <w:color w:val="000000"/>
          <w:sz w:val="32"/>
          <w:szCs w:val="32"/>
        </w:rPr>
        <w:t>建立义务教育、学前教育以县为主，普通高中、跨区域以市为主的集团化办学管理格局，落实各级政府教育责任，制定并落实支持集团化办学的各项保障措施。全面加强党对集团化办学工作的领导，坚持立德树人基本方向，推动集团化办学在促进教育公平、提高育人质量上取得良好成效。加强部门协同，在办学体制、经费投入、教师管理、评价考核机制，打破校际边界，赋予教育集团一定的人事、经费和资源统筹权，为集团化办学营造良好的政策环境，进一步激发办学活力。各地在充分借鉴、总结研究基础上，积极探索多校协同、区域组团、同学段联盟、跨学段联合、委托管理等多种办学模式。充分发挥集团化办学以城带乡、以强带弱、以老带新的功能，将农村学校、薄弱学校、新建学校等纳入教育集团管理，推动教育优质均衡发展。2021年各县（市、区）要建立不少于1个义务教育发展共同体（集团），市本级组建不少于2个教育集团，实现优质教育资源利用效益最大化。积极培育省级优质教育集团，到2025年，全市力争创建省级优质教育集团不少于4个。积极争取与珠三角地区合作机会，探索跨市域融入珠三角优质中小学、幼儿园为核心的教育集团。</w:t>
      </w:r>
      <w:bookmarkEnd w:id="449"/>
      <w:bookmarkEnd w:id="450"/>
    </w:p>
    <w:p>
      <w:pPr>
        <w:widowControl w:val="0"/>
        <w:adjustRightInd w:val="0"/>
        <w:snapToGrid w:val="0"/>
        <w:spacing w:line="560" w:lineRule="exact"/>
        <w:ind w:firstLine="640" w:firstLineChars="200"/>
        <w:rPr>
          <w:rFonts w:hint="eastAsia" w:ascii="仿宋_GB2312" w:hAnsi="仿宋_GB2312" w:eastAsia="仿宋_GB2312" w:cs="仿宋_GB2312"/>
          <w:color w:val="000000"/>
          <w:sz w:val="32"/>
          <w:szCs w:val="32"/>
        </w:rPr>
      </w:pPr>
      <w:bookmarkStart w:id="452" w:name="_Toc14229"/>
      <w:bookmarkStart w:id="453" w:name="_Toc7416"/>
      <w:bookmarkStart w:id="454" w:name="_Toc23805"/>
      <w:bookmarkStart w:id="455" w:name="_Toc23835"/>
      <w:r>
        <w:rPr>
          <w:rStyle w:val="35"/>
          <w:rFonts w:hint="eastAsia" w:ascii="仿宋_GB2312" w:hAnsi="仿宋_GB2312" w:eastAsia="仿宋_GB2312" w:cs="仿宋_GB2312"/>
        </w:rPr>
        <w:t>2.推进依法治教依法治校。</w:t>
      </w:r>
      <w:bookmarkEnd w:id="452"/>
      <w:r>
        <w:rPr>
          <w:rFonts w:hint="eastAsia" w:ascii="仿宋_GB2312" w:hAnsi="仿宋_GB2312" w:eastAsia="仿宋_GB2312" w:cs="仿宋_GB2312"/>
          <w:color w:val="000000"/>
          <w:sz w:val="32"/>
          <w:szCs w:val="32"/>
        </w:rPr>
        <w:t>完善依法治教、依法办学、自主管理、民主监督、社会参与的现代学校制度。健全学前教育、民办教育、特殊教育、家庭教育等地方性法规和政府规章，为政府依法治教和学校依法办学提供法治保障。发挥中小学党组织在学校治理中的政治核心作用。深入开展师生法治教育，加强校务信息公开工作，健全师生权益保护机制，切实维护学校、师生合法权益。</w:t>
      </w:r>
      <w:bookmarkEnd w:id="451"/>
      <w:bookmarkEnd w:id="453"/>
      <w:bookmarkEnd w:id="454"/>
      <w:bookmarkEnd w:id="455"/>
    </w:p>
    <w:p>
      <w:pPr>
        <w:widowControl w:val="0"/>
        <w:wordWrap/>
        <w:adjustRightInd w:val="0"/>
        <w:snapToGrid w:val="0"/>
        <w:spacing w:line="560" w:lineRule="exact"/>
        <w:ind w:left="0" w:leftChars="0" w:right="0" w:firstLine="640" w:firstLineChars="200"/>
        <w:jc w:val="both"/>
        <w:textAlignment w:val="baseline"/>
        <w:outlineLvl w:val="9"/>
        <w:rPr>
          <w:rFonts w:hint="eastAsia" w:ascii="仿宋_GB2312" w:hAnsi="仿宋_GB2312" w:eastAsia="仿宋_GB2312" w:cs="仿宋_GB2312"/>
          <w:color w:val="000000"/>
          <w:sz w:val="32"/>
          <w:szCs w:val="32"/>
        </w:rPr>
      </w:pPr>
      <w:bookmarkStart w:id="456" w:name="_Toc11645"/>
      <w:bookmarkStart w:id="457" w:name="_Toc15490"/>
      <w:bookmarkStart w:id="458" w:name="_Toc3844"/>
      <w:bookmarkStart w:id="459" w:name="_Toc4442"/>
      <w:r>
        <w:rPr>
          <w:rStyle w:val="35"/>
          <w:rFonts w:hint="eastAsia" w:ascii="仿宋_GB2312" w:hAnsi="仿宋_GB2312" w:eastAsia="仿宋_GB2312" w:cs="仿宋_GB2312"/>
        </w:rPr>
        <w:t>3.提高学校现代化治理能力。</w:t>
      </w:r>
      <w:bookmarkEnd w:id="456"/>
      <w:r>
        <w:rPr>
          <w:rFonts w:hint="eastAsia" w:ascii="仿宋_GB2312" w:hAnsi="仿宋_GB2312" w:eastAsia="仿宋_GB2312" w:cs="仿宋_GB2312"/>
          <w:bCs/>
          <w:color w:val="000000"/>
          <w:sz w:val="32"/>
          <w:szCs w:val="32"/>
        </w:rPr>
        <w:t>加强以章程为核心的现代学校规章制度体系建设</w:t>
      </w:r>
      <w:r>
        <w:rPr>
          <w:rFonts w:hint="eastAsia" w:ascii="仿宋_GB2312" w:hAnsi="仿宋_GB2312" w:eastAsia="仿宋_GB2312" w:cs="仿宋_GB2312"/>
          <w:color w:val="000000"/>
          <w:sz w:val="32"/>
          <w:szCs w:val="32"/>
        </w:rPr>
        <w:t>，提高章程建设质量。健全各级各类学校章程核准后的执行和监督评价机制，完善章程为核心的学校内部治理结构，健全教职工代表大会、学生代表大会制度和教师、学生申诉维权制度，构建完善的民主监督与社会参与机制，推动学校依法依章程自主办学的全面实现。落实和扩大学校办学自主权，尊重学校办学主体地位，规范政府及行政部门对学校的监管事项，防止和消除对学校正常教育教学活动的干扰，保障学校自主办学。</w:t>
      </w:r>
      <w:bookmarkEnd w:id="457"/>
      <w:bookmarkEnd w:id="458"/>
      <w:bookmarkEnd w:id="459"/>
      <w:bookmarkStart w:id="603" w:name="_GoBack"/>
      <w:bookmarkEnd w:id="603"/>
    </w:p>
    <w:p>
      <w:pPr>
        <w:pStyle w:val="3"/>
        <w:ind w:firstLine="640"/>
        <w:rPr>
          <w:rFonts w:hint="eastAsia" w:ascii="楷体_GB2312" w:hAnsi="楷体_GB2312" w:eastAsia="楷体_GB2312" w:cs="楷体_GB2312"/>
        </w:rPr>
      </w:pPr>
      <w:bookmarkStart w:id="460" w:name="_Toc28763"/>
      <w:bookmarkStart w:id="461" w:name="_Toc5086"/>
      <w:bookmarkStart w:id="462" w:name="_Toc67038497"/>
      <w:bookmarkStart w:id="463" w:name="_Toc1063"/>
      <w:bookmarkStart w:id="464" w:name="_Toc21929"/>
      <w:bookmarkStart w:id="465" w:name="_Toc67038504"/>
      <w:r>
        <w:rPr>
          <w:rFonts w:hint="eastAsia" w:ascii="楷体_GB2312" w:hAnsi="楷体_GB2312" w:eastAsia="楷体_GB2312" w:cs="楷体_GB2312"/>
        </w:rPr>
        <w:t>（三）深化教师队伍管理体制机制改革</w:t>
      </w:r>
      <w:bookmarkEnd w:id="460"/>
      <w:bookmarkEnd w:id="461"/>
      <w:bookmarkEnd w:id="462"/>
      <w:bookmarkEnd w:id="463"/>
      <w:bookmarkEnd w:id="464"/>
    </w:p>
    <w:p>
      <w:pPr>
        <w:spacing w:line="560" w:lineRule="exact"/>
        <w:ind w:firstLine="636"/>
        <w:textAlignment w:val="auto"/>
        <w:rPr>
          <w:rFonts w:hint="eastAsia" w:ascii="仿宋_GB2312" w:hAnsi="仿宋_GB2312" w:eastAsia="仿宋_GB2312" w:cs="仿宋_GB2312"/>
          <w:b/>
          <w:bCs/>
          <w:sz w:val="32"/>
          <w:szCs w:val="32"/>
        </w:rPr>
      </w:pPr>
      <w:bookmarkStart w:id="466" w:name="_Toc32716"/>
      <w:bookmarkStart w:id="467" w:name="_Toc4097"/>
      <w:bookmarkStart w:id="468" w:name="_Toc2716"/>
      <w:bookmarkStart w:id="469" w:name="_Toc67038498"/>
      <w:bookmarkStart w:id="470" w:name="_Toc7996"/>
      <w:r>
        <w:rPr>
          <w:rStyle w:val="35"/>
          <w:rFonts w:hint="eastAsia" w:ascii="仿宋_GB2312" w:hAnsi="仿宋_GB2312" w:eastAsia="仿宋_GB2312" w:cs="仿宋_GB2312"/>
        </w:rPr>
        <w:t>1.优化教师配置机制。</w:t>
      </w:r>
      <w:bookmarkEnd w:id="466"/>
      <w:bookmarkEnd w:id="467"/>
      <w:bookmarkEnd w:id="468"/>
      <w:r>
        <w:rPr>
          <w:rFonts w:hint="eastAsia" w:ascii="仿宋_GB2312" w:hAnsi="仿宋_GB2312" w:eastAsia="仿宋_GB2312" w:cs="仿宋_GB2312"/>
          <w:sz w:val="32"/>
          <w:szCs w:val="32"/>
        </w:rPr>
        <w:t>全面推进中小学教师“县管校聘”改革，贯彻落实省关于进一步挖潜创新加强中小学教职工管理的相关要求，建立全市中小学教职工编制周转专户，加大各级各类学校教职工编制统筹配置和跨区域调整力度，严禁挤占、挪用、截留教职工编制和有编不补。保障乡村寄宿制学校、小规模学校和高中学校教职工编制需求，对年级学生数达不到标准班额的乡村小学、教学点，按照每个教学班配备2.4名教职工的标准核定编制。对寄宿制学校应根据教学、管理实际需要，通过统筹现有编制资源、加大调剂力度等方式适当增加编制。根据办学规模，优化职业院校岗位配置，配足配齐职业院校教师编制，并给予经费保障。</w:t>
      </w:r>
      <w:bookmarkEnd w:id="469"/>
      <w:bookmarkEnd w:id="470"/>
      <w:r>
        <w:rPr>
          <w:rFonts w:hint="eastAsia" w:ascii="仿宋_GB2312" w:hAnsi="仿宋_GB2312" w:eastAsia="仿宋_GB2312" w:cs="仿宋_GB2312"/>
          <w:sz w:val="32"/>
          <w:szCs w:val="32"/>
        </w:rPr>
        <w:t>加强公办中小学（幼儿园）临聘教师管理，逐步实现临聘教师与公办教师同工同酬。</w:t>
      </w:r>
      <w:bookmarkStart w:id="471" w:name="_Toc67038499"/>
    </w:p>
    <w:p>
      <w:pPr>
        <w:spacing w:line="560" w:lineRule="exact"/>
        <w:ind w:firstLine="640" w:firstLineChars="200"/>
        <w:rPr>
          <w:rFonts w:hint="eastAsia" w:ascii="仿宋_GB2312" w:hAnsi="仿宋_GB2312" w:eastAsia="仿宋_GB2312" w:cs="仿宋_GB2312"/>
          <w:sz w:val="32"/>
          <w:szCs w:val="32"/>
        </w:rPr>
      </w:pPr>
      <w:bookmarkStart w:id="472" w:name="_Toc25138"/>
      <w:bookmarkStart w:id="473" w:name="_Toc10306"/>
      <w:bookmarkStart w:id="474" w:name="_Toc18912"/>
      <w:r>
        <w:rPr>
          <w:rStyle w:val="35"/>
          <w:rFonts w:hint="eastAsia" w:ascii="仿宋_GB2312" w:hAnsi="仿宋_GB2312" w:eastAsia="仿宋_GB2312" w:cs="仿宋_GB2312"/>
        </w:rPr>
        <w:t>2.优化教师统筹管理机制。</w:t>
      </w:r>
      <w:bookmarkEnd w:id="472"/>
      <w:bookmarkEnd w:id="473"/>
      <w:bookmarkEnd w:id="474"/>
      <w:r>
        <w:rPr>
          <w:rFonts w:hint="eastAsia" w:ascii="仿宋_GB2312" w:hAnsi="仿宋_GB2312" w:eastAsia="仿宋_GB2312" w:cs="仿宋_GB2312"/>
          <w:sz w:val="32"/>
          <w:szCs w:val="32"/>
        </w:rPr>
        <w:t>落实中小学教师聘用合同管理制度。推行中小学教师竞聘上岗制度，建立竞争择优、能上能下、能进能出的用人机制。深入推进“上岗退费”政策、“特岗计划”“银龄讲学计划”等，加快乡村紧缺学科教师的补充工作。探索建立教师资源服务平台，通过教师资源大数据建立教师资源图，扩大优质教师资源的影响力和辐射范围。实行县域内优秀教师及名教师走教制度，建立市县两级名教师、名班主任、名校长资源库，选派优质学校教师到农村学校或教学点走教，建立名教师定期轮流走教机制，定期组织教学名师、学科带头人、骨干教师巡回讲学、送教下乡。鼓励选派公办中小学教师到民办中小学帮扶支教。各县（市、区）政府制定走教教师财政补助政策，奖励优秀走教、支教教师。鼓励支持退休优秀教师、符合条件的志愿者到乡村和基层学校支教讲学。</w:t>
      </w:r>
      <w:bookmarkEnd w:id="471"/>
      <w:r>
        <w:rPr>
          <w:rFonts w:hint="eastAsia" w:ascii="仿宋_GB2312" w:hAnsi="仿宋_GB2312" w:eastAsia="仿宋_GB2312" w:cs="仿宋_GB2312"/>
          <w:sz w:val="32"/>
          <w:szCs w:val="32"/>
        </w:rPr>
        <w:t>规范外籍教师及港澳台教师聘用管理。完善教师因公（因私）出国（境）管理制度。</w:t>
      </w:r>
    </w:p>
    <w:p>
      <w:pPr>
        <w:spacing w:line="560" w:lineRule="exact"/>
        <w:ind w:firstLine="636"/>
        <w:textAlignment w:val="auto"/>
        <w:rPr>
          <w:rFonts w:hint="eastAsia" w:ascii="仿宋_GB2312" w:hAnsi="仿宋_GB2312" w:eastAsia="仿宋_GB2312" w:cs="仿宋_GB2312"/>
          <w:sz w:val="32"/>
          <w:szCs w:val="32"/>
        </w:rPr>
      </w:pPr>
      <w:bookmarkStart w:id="475" w:name="_Toc5301"/>
      <w:bookmarkStart w:id="476" w:name="_Toc9672"/>
      <w:bookmarkStart w:id="477" w:name="_Toc2589"/>
      <w:bookmarkStart w:id="478" w:name="_Toc67038502"/>
      <w:bookmarkStart w:id="479" w:name="_Toc12885"/>
      <w:bookmarkStart w:id="480" w:name="_Toc15278"/>
      <w:r>
        <w:rPr>
          <w:rStyle w:val="35"/>
          <w:rFonts w:hint="eastAsia" w:ascii="仿宋_GB2312" w:hAnsi="仿宋_GB2312" w:eastAsia="仿宋_GB2312" w:cs="仿宋_GB2312"/>
        </w:rPr>
        <w:t>3.深化教师职称评聘制度改革</w:t>
      </w:r>
      <w:bookmarkEnd w:id="475"/>
      <w:bookmarkEnd w:id="476"/>
      <w:r>
        <w:rPr>
          <w:rStyle w:val="35"/>
          <w:rFonts w:hint="eastAsia" w:ascii="仿宋_GB2312" w:hAnsi="仿宋_GB2312" w:eastAsia="仿宋_GB2312" w:cs="仿宋_GB2312"/>
        </w:rPr>
        <w:t>。</w:t>
      </w:r>
      <w:bookmarkEnd w:id="477"/>
      <w:bookmarkEnd w:id="478"/>
      <w:bookmarkEnd w:id="479"/>
      <w:bookmarkEnd w:id="480"/>
      <w:r>
        <w:rPr>
          <w:rFonts w:hint="eastAsia" w:ascii="仿宋_GB2312" w:hAnsi="仿宋_GB2312" w:eastAsia="仿宋_GB2312" w:cs="仿宋_GB2312"/>
          <w:sz w:val="32"/>
          <w:szCs w:val="32"/>
        </w:rPr>
        <w:t>提高中小学教师高级岗位结构比例，幼儿园达到8%、小学达到15%、初中达到30%、高中达到40%。乡村学校教师参加职称评审时不作发表论文、课题项目、奖项、头衔称号（含表彰荣誉）以及外语成绩、计算机等刚性要求，但其任教班级的综合评价结果必须在县域内同年级靠前。在乡村学校任教累计满25年且仍在乡村学校任教教师，聘任专业技术岗位时不受岗位职数限制。建立健全与学校发展定位、学科特点相适应，符合教师岗位特点的考核评价指标体系，完善职业学校“双师型”教师评价标准，完善学校、教师、学生、社会等多方参与的评价机制。制定出台中小学教师课时量标准指导方案，把教师完成规定的课时量和胜任教育教学工作作为教师资格注册、职称评审、专业技术岗位聘任、评先树优和考核评价的必要条件。加强中小学（幼儿园）校（园）长考核评价，完善优胜劣汰机制。</w:t>
      </w:r>
      <w:r>
        <w:rPr>
          <w:rFonts w:hint="eastAsia" w:ascii="仿宋_GB2312" w:hAnsi="仿宋_GB2312" w:eastAsia="仿宋_GB2312" w:cs="仿宋_GB2312"/>
          <w:b/>
          <w:sz w:val="32"/>
          <w:szCs w:val="32"/>
        </w:rPr>
        <w:t xml:space="preserve"> </w:t>
      </w:r>
    </w:p>
    <w:p>
      <w:pPr>
        <w:pStyle w:val="3"/>
        <w:ind w:firstLine="640"/>
        <w:rPr>
          <w:rFonts w:hint="eastAsia" w:ascii="楷体_GB2312" w:hAnsi="楷体_GB2312" w:eastAsia="楷体_GB2312" w:cs="楷体_GB2312"/>
        </w:rPr>
      </w:pPr>
      <w:bookmarkStart w:id="481" w:name="_Toc3421"/>
      <w:bookmarkStart w:id="482" w:name="_Toc17965"/>
      <w:bookmarkStart w:id="483" w:name="_Toc12874"/>
      <w:bookmarkStart w:id="484" w:name="_Toc4981"/>
      <w:r>
        <w:rPr>
          <w:rFonts w:hint="eastAsia" w:ascii="楷体_GB2312" w:hAnsi="楷体_GB2312" w:eastAsia="楷体_GB2312" w:cs="楷体_GB2312"/>
        </w:rPr>
        <w:t>（四）深化民办教育</w:t>
      </w:r>
      <w:bookmarkEnd w:id="427"/>
      <w:r>
        <w:rPr>
          <w:rFonts w:hint="eastAsia" w:ascii="楷体_GB2312" w:hAnsi="楷体_GB2312" w:eastAsia="楷体_GB2312" w:cs="楷体_GB2312"/>
        </w:rPr>
        <w:t>分类管理机制改革</w:t>
      </w:r>
      <w:bookmarkEnd w:id="465"/>
      <w:bookmarkEnd w:id="481"/>
      <w:bookmarkEnd w:id="482"/>
      <w:bookmarkEnd w:id="483"/>
      <w:bookmarkEnd w:id="484"/>
    </w:p>
    <w:p>
      <w:pPr>
        <w:spacing w:line="560" w:lineRule="exact"/>
        <w:ind w:firstLine="640" w:firstLineChars="200"/>
        <w:rPr>
          <w:rFonts w:hint="eastAsia" w:ascii="仿宋_GB2312" w:hAnsi="仿宋_GB2312" w:eastAsia="仿宋_GB2312" w:cs="仿宋_GB2312"/>
          <w:sz w:val="32"/>
          <w:szCs w:val="32"/>
        </w:rPr>
      </w:pPr>
      <w:bookmarkStart w:id="485" w:name="_Toc18532"/>
      <w:bookmarkStart w:id="486" w:name="_Toc67038505"/>
      <w:bookmarkStart w:id="487" w:name="_Toc4256"/>
      <w:bookmarkStart w:id="488" w:name="_Toc23610"/>
      <w:bookmarkStart w:id="489" w:name="_Toc21271"/>
      <w:bookmarkStart w:id="490" w:name="_Toc22338"/>
      <w:r>
        <w:rPr>
          <w:rStyle w:val="35"/>
          <w:rFonts w:hint="eastAsia" w:ascii="仿宋_GB2312" w:hAnsi="仿宋_GB2312" w:eastAsia="仿宋_GB2312" w:cs="仿宋_GB2312"/>
        </w:rPr>
        <w:t>1.健全民办学校分类管理制度</w:t>
      </w:r>
      <w:bookmarkEnd w:id="485"/>
      <w:r>
        <w:rPr>
          <w:rStyle w:val="35"/>
          <w:rFonts w:hint="eastAsia" w:ascii="仿宋_GB2312" w:hAnsi="仿宋_GB2312" w:eastAsia="仿宋_GB2312" w:cs="仿宋_GB2312"/>
        </w:rPr>
        <w:t>体系。</w:t>
      </w:r>
      <w:bookmarkEnd w:id="486"/>
      <w:bookmarkEnd w:id="487"/>
      <w:r>
        <w:rPr>
          <w:rFonts w:hint="eastAsia" w:ascii="仿宋_GB2312" w:hAnsi="仿宋_GB2312" w:eastAsia="仿宋_GB2312" w:cs="仿宋_GB2312"/>
          <w:sz w:val="32"/>
          <w:szCs w:val="32"/>
        </w:rPr>
        <w:t>加强民办教育地方配套制度建设和政策引导，支持和鼓励社会力量兴办教育。加快推进营利性和非营利性民办学校分类管理、分类发展，按照“一校一策”制定过渡实施方案。落实民办学校分类登记，指导民办学校完成财务清算和财产权属确认工作，明确对民办学校的财政资助及税收优惠等扶持标准。制定民办学校出资者补偿和奖励制度，健全民办学校退出机制，依法保障各方合法权益。建立非营利性民办学校监管办法，形成强有力的奖惩机制。</w:t>
      </w:r>
      <w:bookmarkEnd w:id="488"/>
      <w:bookmarkEnd w:id="489"/>
      <w:bookmarkEnd w:id="490"/>
    </w:p>
    <w:p>
      <w:pPr>
        <w:spacing w:line="560" w:lineRule="exact"/>
        <w:ind w:firstLine="640" w:firstLineChars="200"/>
        <w:rPr>
          <w:rFonts w:hint="eastAsia" w:ascii="仿宋_GB2312" w:hAnsi="仿宋_GB2312" w:eastAsia="仿宋_GB2312" w:cs="仿宋_GB2312"/>
          <w:sz w:val="32"/>
          <w:szCs w:val="32"/>
        </w:rPr>
      </w:pPr>
      <w:bookmarkStart w:id="491" w:name="_Toc67038506"/>
      <w:bookmarkStart w:id="492" w:name="_Toc14349"/>
      <w:bookmarkStart w:id="493" w:name="_Toc698"/>
      <w:bookmarkStart w:id="494" w:name="_Toc28761"/>
      <w:bookmarkStart w:id="495" w:name="_Toc20312"/>
      <w:bookmarkStart w:id="496" w:name="_Toc7200"/>
      <w:r>
        <w:rPr>
          <w:rStyle w:val="35"/>
          <w:rFonts w:hint="eastAsia" w:ascii="仿宋_GB2312" w:hAnsi="仿宋_GB2312" w:eastAsia="仿宋_GB2312" w:cs="仿宋_GB2312"/>
        </w:rPr>
        <w:t>2.强化民办学校分类发展支持力度。</w:t>
      </w:r>
      <w:bookmarkEnd w:id="491"/>
      <w:bookmarkEnd w:id="492"/>
      <w:bookmarkStart w:id="497" w:name="_Toc67038507"/>
      <w:r>
        <w:rPr>
          <w:rFonts w:hint="eastAsia" w:ascii="仿宋_GB2312" w:hAnsi="仿宋_GB2312" w:eastAsia="仿宋_GB2312" w:cs="仿宋_GB2312"/>
          <w:sz w:val="32"/>
          <w:szCs w:val="32"/>
        </w:rPr>
        <w:t>加强部门协同配合，及时破解制约民办学校用地、基建、税费等制度性障碍。提高政府对民办学校发展的规划和服务能力，构建覆盖财政、税收、土地、住房、金融等多个领域的差异化扶持政策体系。完善吸引社会捐资办学的税收激励机制，鼓励捐资举办高水平非营利性民办学校。加大对非营利性民办学校财政扶持力度，优化财政资金分配机制。完善民办学校奖励和表彰制度，营造鼓励支持民办教育健康发展的良好社会氛围。</w:t>
      </w:r>
      <w:bookmarkEnd w:id="493"/>
      <w:bookmarkEnd w:id="494"/>
      <w:bookmarkEnd w:id="495"/>
    </w:p>
    <w:p>
      <w:pPr>
        <w:spacing w:line="560" w:lineRule="exact"/>
        <w:ind w:firstLine="640" w:firstLineChars="200"/>
        <w:rPr>
          <w:rFonts w:hint="eastAsia" w:ascii="仿宋_GB2312" w:hAnsi="仿宋_GB2312" w:eastAsia="仿宋_GB2312" w:cs="仿宋_GB2312"/>
          <w:sz w:val="32"/>
          <w:szCs w:val="32"/>
        </w:rPr>
      </w:pPr>
      <w:bookmarkStart w:id="498" w:name="_Toc8105"/>
      <w:bookmarkStart w:id="499" w:name="_Toc14669"/>
      <w:bookmarkStart w:id="500" w:name="_Toc25505"/>
      <w:bookmarkStart w:id="501" w:name="_Toc26741"/>
      <w:r>
        <w:rPr>
          <w:rStyle w:val="35"/>
          <w:rFonts w:hint="eastAsia" w:ascii="仿宋_GB2312" w:hAnsi="仿宋_GB2312" w:eastAsia="仿宋_GB2312" w:cs="仿宋_GB2312"/>
        </w:rPr>
        <w:t>3.健全民办学校监督管理</w:t>
      </w:r>
      <w:bookmarkEnd w:id="496"/>
      <w:r>
        <w:rPr>
          <w:rStyle w:val="35"/>
          <w:rFonts w:hint="eastAsia" w:ascii="仿宋_GB2312" w:hAnsi="仿宋_GB2312" w:eastAsia="仿宋_GB2312" w:cs="仿宋_GB2312"/>
        </w:rPr>
        <w:t>机制。</w:t>
      </w:r>
      <w:bookmarkEnd w:id="497"/>
      <w:bookmarkEnd w:id="498"/>
      <w:r>
        <w:rPr>
          <w:rFonts w:hint="eastAsia" w:ascii="仿宋_GB2312" w:hAnsi="仿宋_GB2312" w:eastAsia="仿宋_GB2312" w:cs="仿宋_GB2312"/>
          <w:sz w:val="32"/>
          <w:szCs w:val="32"/>
        </w:rPr>
        <w:t>加强民办教育管理力量，改进政府管理方式，强化过程监管、绩效问责。以章程建设为抓手，引导民办学校优化内部治理体系，明确董事会、党组织、举办者、校长等主体权责边界。建立健全统一的民办学校财务监管系统，利用信息技术和大数据平台，实现对所有资金流转过程的全程追踪。健全联合执法机制，加大对违法违规办学行为的查处力度。推进管办评分离，发挥社会行业组织作用，建立健全民办学校第三方质量认证和评估制度。</w:t>
      </w:r>
      <w:bookmarkEnd w:id="499"/>
      <w:bookmarkEnd w:id="500"/>
      <w:bookmarkEnd w:id="501"/>
    </w:p>
    <w:p>
      <w:pPr>
        <w:rPr>
          <w:rFonts w:ascii="Times New Roman" w:hAnsi="Times New Roman" w:cs="Times New Roman"/>
          <w:color w:val="000000"/>
        </w:rPr>
      </w:pPr>
    </w:p>
    <w:tbl>
      <w:tblPr>
        <w:tblStyle w:val="23"/>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djustRightInd w:val="0"/>
              <w:snapToGrid w:val="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w:t>
            </w:r>
            <w:r>
              <w:rPr>
                <w:rFonts w:hint="eastAsia" w:ascii="Times New Roman" w:hAnsi="Times New Roman" w:eastAsia="仿宋_GB2312" w:cs="Times New Roman"/>
                <w:b/>
                <w:color w:val="000000"/>
                <w:sz w:val="28"/>
                <w:szCs w:val="28"/>
              </w:rPr>
              <w:t>10</w:t>
            </w:r>
            <w:r>
              <w:rPr>
                <w:rFonts w:ascii="Times New Roman" w:hAnsi="Times New Roman" w:eastAsia="仿宋_GB2312" w:cs="Times New Roman"/>
                <w:b/>
                <w:color w:val="000000"/>
                <w:sz w:val="28"/>
                <w:szCs w:val="28"/>
              </w:rPr>
              <w:t>：</w:t>
            </w:r>
            <w:r>
              <w:rPr>
                <w:rFonts w:hint="eastAsia" w:ascii="Times New Roman" w:hAnsi="Times New Roman" w:eastAsia="仿宋_GB2312" w:cs="Times New Roman"/>
                <w:b/>
                <w:color w:val="000000"/>
                <w:sz w:val="28"/>
                <w:szCs w:val="28"/>
              </w:rPr>
              <w:t>民办教育健康可持续发展行动计划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autoSpaceDE w:val="0"/>
              <w:adjustRightInd w:val="0"/>
              <w:snapToGrid w:val="0"/>
              <w:spacing w:line="360" w:lineRule="exact"/>
              <w:ind w:firstLine="560" w:firstLineChars="200"/>
              <w:rPr>
                <w:rFonts w:ascii="Times New Roman" w:hAnsi="Times New Roman" w:eastAsia="仿宋_GB2312" w:cs="Times New Roman"/>
                <w:b/>
                <w:sz w:val="28"/>
                <w:szCs w:val="28"/>
              </w:rPr>
            </w:pPr>
          </w:p>
          <w:p>
            <w:pPr>
              <w:autoSpaceDE w:val="0"/>
              <w:adjustRightInd w:val="0"/>
              <w:snapToGrid w:val="0"/>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1.推进民办学校规范达标</w:t>
            </w:r>
            <w:r>
              <w:rPr>
                <w:rFonts w:hint="eastAsia" w:ascii="仿宋_GB2312" w:hAnsi="仿宋_GB2312" w:eastAsia="仿宋_GB2312" w:cs="仿宋_GB2312"/>
                <w:sz w:val="28"/>
                <w:szCs w:val="28"/>
              </w:rPr>
              <w:t>。推动全市民办学校落实和加强办学投入，规范办学行为，实现基本办学条件全达标。加强民办学校党建工作，落实民办学校党的组织和党的工作全覆盖。建立现代学校制度，完善以学校章程为核心的规章制度体系，保障校长依法独立行使职权，严格规范重大事项变更程序，严格落实考试招生制度。依法落实民办学校法人财产权，全市民办学校基本完成资产过户工作。加强学校资产财务制度和管理信息系统建设，健全办学风险评估与预警机制。规范公办学校参与举办民办学校。</w:t>
            </w:r>
          </w:p>
          <w:p>
            <w:pPr>
              <w:adjustRightInd w:val="0"/>
              <w:snapToGrid w:val="0"/>
              <w:spacing w:line="360" w:lineRule="exact"/>
              <w:ind w:firstLine="549" w:firstLineChars="196"/>
              <w:rPr>
                <w:rFonts w:ascii="仿宋_GB2312" w:hAnsi="仿宋_GB2312" w:eastAsia="仿宋_GB2312" w:cs="仿宋_GB2312"/>
                <w:sz w:val="28"/>
                <w:szCs w:val="28"/>
              </w:rPr>
            </w:pPr>
            <w:r>
              <w:rPr>
                <w:rFonts w:hint="eastAsia" w:ascii="仿宋_GB2312" w:hAnsi="仿宋_GB2312" w:eastAsia="仿宋_GB2312" w:cs="仿宋_GB2312"/>
                <w:b/>
                <w:sz w:val="28"/>
                <w:szCs w:val="28"/>
              </w:rPr>
              <w:t>2.制定民办学校品牌建设计划</w:t>
            </w:r>
            <w:r>
              <w:rPr>
                <w:rFonts w:hint="eastAsia" w:ascii="仿宋_GB2312" w:hAnsi="仿宋_GB2312" w:eastAsia="仿宋_GB2312" w:cs="仿宋_GB2312"/>
                <w:sz w:val="28"/>
                <w:szCs w:val="28"/>
              </w:rPr>
              <w:t>。遴选建设一批民办品牌幼儿园、民办中小学品牌特色课程、民办普通高中特色示范校，形成一批高水平特色民办学校。加强民办中小学（幼儿园）教科研平台建设。遴选一批优质学校建设特色课程、特色学科，形成办学特色鲜明的品牌示范学校。加强民办中小学教科研平台建设。引进一批省内知名品牌学校或教育集团来清办学。</w:t>
            </w:r>
          </w:p>
          <w:p>
            <w:pPr>
              <w:adjustRightInd w:val="0"/>
              <w:snapToGrid w:val="0"/>
              <w:spacing w:line="360" w:lineRule="exact"/>
              <w:ind w:firstLine="549" w:firstLineChars="196"/>
              <w:rPr>
                <w:rFonts w:ascii="Times New Roman" w:hAnsi="Times New Roman" w:eastAsia="仿宋_GB2312" w:cs="Times New Roman"/>
                <w:sz w:val="28"/>
                <w:szCs w:val="28"/>
              </w:rPr>
            </w:pPr>
            <w:r>
              <w:rPr>
                <w:rFonts w:hint="eastAsia" w:ascii="仿宋_GB2312" w:hAnsi="仿宋_GB2312" w:eastAsia="仿宋_GB2312" w:cs="仿宋_GB2312"/>
                <w:b/>
                <w:bCs/>
                <w:color w:val="000000"/>
                <w:sz w:val="28"/>
                <w:szCs w:val="28"/>
                <w:lang w:eastAsia="zh-CN"/>
              </w:rPr>
              <w:t>（见附件《清远市教育质量提升发展十大行动计划（2021-2025年）》）</w:t>
            </w:r>
          </w:p>
        </w:tc>
      </w:tr>
    </w:tbl>
    <w:p/>
    <w:p>
      <w:pPr>
        <w:pStyle w:val="3"/>
        <w:ind w:firstLine="640"/>
      </w:pPr>
      <w:bookmarkStart w:id="502" w:name="_Toc22698"/>
      <w:bookmarkStart w:id="503" w:name="_Toc27886"/>
      <w:bookmarkStart w:id="504" w:name="_Toc24349"/>
      <w:r>
        <w:t>（五）深化考试招生制度改革</w:t>
      </w:r>
      <w:bookmarkEnd w:id="502"/>
      <w:bookmarkEnd w:id="503"/>
      <w:bookmarkEnd w:id="504"/>
    </w:p>
    <w:p>
      <w:pPr>
        <w:spacing w:line="560" w:lineRule="exact"/>
        <w:ind w:firstLine="640" w:firstLineChars="200"/>
        <w:rPr>
          <w:rFonts w:ascii="Times New Roman" w:hAnsi="Times New Roman" w:eastAsia="仿宋_GB2312" w:cs="Times New Roman"/>
          <w:sz w:val="32"/>
        </w:rPr>
      </w:pPr>
      <w:bookmarkStart w:id="505" w:name="_Toc67038510"/>
      <w:bookmarkStart w:id="506" w:name="_Toc3020"/>
      <w:bookmarkStart w:id="507" w:name="_Toc15553"/>
      <w:bookmarkStart w:id="508" w:name="_Toc13386"/>
      <w:bookmarkStart w:id="509" w:name="_Toc19997"/>
      <w:bookmarkStart w:id="510" w:name="_Toc14378"/>
      <w:bookmarkStart w:id="511" w:name="_Toc67038514"/>
      <w:r>
        <w:rPr>
          <w:rStyle w:val="35"/>
          <w:rFonts w:hint="eastAsia" w:ascii="仿宋_GB2312" w:hAnsi="仿宋_GB2312" w:cs="仿宋_GB2312"/>
        </w:rPr>
        <w:t>1.完善义务教育招生入学制度。</w:t>
      </w:r>
      <w:bookmarkEnd w:id="505"/>
      <w:bookmarkEnd w:id="506"/>
      <w:bookmarkEnd w:id="507"/>
      <w:bookmarkEnd w:id="508"/>
      <w:bookmarkEnd w:id="509"/>
      <w:r>
        <w:rPr>
          <w:rFonts w:hint="eastAsia" w:ascii="Times New Roman" w:hAnsi="Times New Roman" w:eastAsia="仿宋_GB2312" w:cs="Times New Roman"/>
          <w:sz w:val="32"/>
        </w:rPr>
        <w:t>严格实行“</w:t>
      </w:r>
      <w:r>
        <w:rPr>
          <w:rFonts w:ascii="Times New Roman" w:hAnsi="Times New Roman" w:eastAsia="仿宋_GB2312" w:cs="Times New Roman"/>
          <w:sz w:val="32"/>
        </w:rPr>
        <w:t>免试就近入学</w:t>
      </w:r>
      <w:r>
        <w:rPr>
          <w:rFonts w:hint="eastAsia" w:ascii="Times New Roman" w:hAnsi="Times New Roman" w:eastAsia="仿宋_GB2312" w:cs="Times New Roman"/>
          <w:sz w:val="32"/>
        </w:rPr>
        <w:t>”政策，</w:t>
      </w:r>
      <w:r>
        <w:rPr>
          <w:rFonts w:ascii="Times New Roman" w:hAnsi="Times New Roman" w:eastAsia="仿宋_GB2312" w:cs="Times New Roman"/>
          <w:sz w:val="32"/>
        </w:rPr>
        <w:t>依法保障适龄儿童入学权利。</w:t>
      </w:r>
      <w:r>
        <w:rPr>
          <w:rFonts w:hint="eastAsia" w:ascii="Times New Roman" w:hAnsi="Times New Roman" w:eastAsia="仿宋_GB2312" w:cs="Times New Roman"/>
          <w:sz w:val="32"/>
        </w:rPr>
        <w:t>按照“</w:t>
      </w:r>
      <w:r>
        <w:rPr>
          <w:rFonts w:ascii="Times New Roman" w:hAnsi="Times New Roman" w:eastAsia="仿宋_GB2312" w:cs="Times New Roman"/>
          <w:sz w:val="32"/>
        </w:rPr>
        <w:t>学校划片招生、生源就近入学</w:t>
      </w:r>
      <w:r>
        <w:rPr>
          <w:rFonts w:hint="eastAsia" w:ascii="Times New Roman" w:hAnsi="Times New Roman" w:eastAsia="仿宋_GB2312" w:cs="Times New Roman"/>
          <w:sz w:val="32"/>
        </w:rPr>
        <w:t>”的基本要求，小学一般采取按地段对口方式入学，初中一般采取按地段对口、小学对口直</w:t>
      </w:r>
      <w:r>
        <w:rPr>
          <w:rFonts w:ascii="Times New Roman" w:hAnsi="Times New Roman" w:eastAsia="仿宋_GB2312" w:cs="Times New Roman"/>
          <w:sz w:val="32"/>
        </w:rPr>
        <w:t>升或电脑派位摇号等方式入学。规范民办义务教育学校招生入学，对报名人数超过招生计划数的民办学校，全部实行电脑随机摇号录取。</w:t>
      </w:r>
    </w:p>
    <w:p>
      <w:pPr>
        <w:spacing w:line="560" w:lineRule="exact"/>
        <w:ind w:firstLine="640" w:firstLineChars="200"/>
        <w:rPr>
          <w:rFonts w:ascii="仿宋_GB2312" w:hAnsi="仿宋_GB2312" w:eastAsia="仿宋_GB2312" w:cs="仿宋_GB2312"/>
          <w:sz w:val="32"/>
          <w:szCs w:val="32"/>
        </w:rPr>
      </w:pPr>
      <w:bookmarkStart w:id="512" w:name="_Toc20043"/>
      <w:bookmarkStart w:id="513" w:name="_Toc26522"/>
      <w:bookmarkStart w:id="514" w:name="_Toc2164"/>
      <w:r>
        <w:rPr>
          <w:rStyle w:val="35"/>
          <w:rFonts w:hint="eastAsia" w:ascii="仿宋_GB2312" w:hAnsi="仿宋_GB2312" w:cs="仿宋_GB2312"/>
        </w:rPr>
        <w:t>2.深化高中阶段学校考试招生制度改革。</w:t>
      </w:r>
      <w:bookmarkEnd w:id="512"/>
      <w:bookmarkEnd w:id="513"/>
      <w:bookmarkEnd w:id="514"/>
      <w:r>
        <w:rPr>
          <w:rFonts w:hint="eastAsia" w:ascii="仿宋_GB2312" w:hAnsi="仿宋_GB2312" w:eastAsia="仿宋_GB2312" w:cs="仿宋_GB2312"/>
          <w:sz w:val="32"/>
          <w:szCs w:val="32"/>
        </w:rPr>
        <w:t>建立健全初中学业水平考试和学生综合素质评价制度，改进学生评价方式，改革招生录取模式，加强考试招生管理，进一步完善和规范学校自主招生，严格控制加分项目及分值，做好随迁子女升学考试工作。至2025年，形成基于初中学业水平考试成绩结合学生综合素质评价的高中阶段学校考试招生录取模式，以及公平科学、规范有序、监督有力的管理机制，推进义务教育优质均衡发展，促进学生全面发展健康成长，维护教育公平。规范高中学校招生行为，继续设立普通高中录取资格线，确保普职合理比例。结合学校的特色发展项目，鼓励普通高中学校在政策范围内积极开展自主招生，主动适应高考招生模式的变化和学生自主长远发展。</w:t>
      </w:r>
    </w:p>
    <w:p>
      <w:pPr>
        <w:pStyle w:val="19"/>
        <w:spacing w:beforeAutospacing="0" w:afterAutospacing="0" w:line="560" w:lineRule="exact"/>
        <w:ind w:firstLine="200"/>
        <w:rPr>
          <w:rFonts w:ascii="仿宋_GB2312" w:hAnsi="仿宋_GB2312" w:eastAsia="仿宋_GB2312" w:cs="仿宋_GB2312"/>
          <w:sz w:val="32"/>
          <w:szCs w:val="32"/>
        </w:rPr>
      </w:pPr>
      <w:bookmarkStart w:id="515" w:name="_Toc16292"/>
      <w:bookmarkStart w:id="516" w:name="_Toc9401"/>
      <w:bookmarkStart w:id="517" w:name="_Toc21783"/>
      <w:bookmarkStart w:id="518" w:name="_Toc28390"/>
      <w:bookmarkStart w:id="519" w:name="_Toc67038512"/>
      <w:r>
        <w:rPr>
          <w:rStyle w:val="35"/>
          <w:rFonts w:hint="eastAsia" w:ascii="仿宋_GB2312" w:hAnsi="仿宋_GB2312" w:eastAsia="仿宋_GB2312" w:cs="仿宋_GB2312"/>
          <w:lang w:val="en-US" w:eastAsia="zh-CN"/>
        </w:rPr>
        <w:t xml:space="preserve">   </w:t>
      </w:r>
      <w:r>
        <w:rPr>
          <w:rStyle w:val="35"/>
          <w:rFonts w:hint="eastAsia" w:ascii="仿宋_GB2312" w:hAnsi="仿宋_GB2312" w:cs="仿宋_GB2312"/>
        </w:rPr>
        <w:t>3.推进高考综合改革落地实施。</w:t>
      </w:r>
      <w:bookmarkEnd w:id="515"/>
      <w:bookmarkEnd w:id="516"/>
      <w:bookmarkEnd w:id="517"/>
      <w:r>
        <w:rPr>
          <w:rFonts w:hint="eastAsia" w:ascii="仿宋_GB2312" w:hAnsi="仿宋_GB2312" w:eastAsia="仿宋_GB2312" w:cs="仿宋_GB2312"/>
          <w:sz w:val="32"/>
          <w:szCs w:val="32"/>
        </w:rPr>
        <w:t>全面适应新高考，完善选课走班教学模式，加强学生发展指导，落实德智体美劳全面培养要求，积极推进普通高中学生综合素质评价，助推教育评价改革。</w:t>
      </w:r>
      <w:bookmarkEnd w:id="518"/>
      <w:bookmarkEnd w:id="519"/>
      <w:r>
        <w:rPr>
          <w:rFonts w:hint="eastAsia" w:ascii="仿宋_GB2312" w:hAnsi="仿宋_GB2312" w:eastAsia="仿宋_GB2312" w:cs="仿宋_GB2312"/>
          <w:sz w:val="32"/>
          <w:szCs w:val="32"/>
        </w:rPr>
        <w:t>加大普通高中基础设施投入，推动学校合理布局和整体提升，高标准配备办学要素，满足高中改革发展和质量提升。根据清远本地学生实际，逐步完善体育和健康、音乐、美术、信息技术、通用技术等5个学科的学业水平考试方案，促进学生全面发展。</w:t>
      </w:r>
    </w:p>
    <w:p>
      <w:pPr>
        <w:pStyle w:val="3"/>
        <w:ind w:firstLine="200" w:firstLineChars="0"/>
      </w:pPr>
      <w:bookmarkStart w:id="520" w:name="_Toc21498"/>
      <w:bookmarkStart w:id="521" w:name="_Toc5647"/>
      <w:bookmarkStart w:id="522" w:name="_Toc1836"/>
      <w:r>
        <w:rPr>
          <w:rFonts w:hint="eastAsia"/>
          <w:lang w:val="en-US" w:eastAsia="zh-CN"/>
        </w:rPr>
        <w:t xml:space="preserve">  </w:t>
      </w:r>
      <w:r>
        <w:rPr>
          <w:rFonts w:hint="eastAsia"/>
        </w:rPr>
        <w:t>（六）深化教育督导体制机制改革</w:t>
      </w:r>
      <w:bookmarkEnd w:id="510"/>
      <w:bookmarkEnd w:id="511"/>
      <w:bookmarkEnd w:id="520"/>
      <w:bookmarkEnd w:id="521"/>
      <w:bookmarkEnd w:id="522"/>
      <w:bookmarkStart w:id="523" w:name="_Toc30690"/>
      <w:bookmarkStart w:id="524" w:name="_Toc67038515"/>
    </w:p>
    <w:p>
      <w:pPr>
        <w:widowControl w:val="0"/>
        <w:adjustRightInd w:val="0"/>
        <w:snapToGrid w:val="0"/>
        <w:spacing w:line="560" w:lineRule="exact"/>
        <w:ind w:firstLine="200"/>
        <w:textAlignment w:val="auto"/>
        <w:rPr>
          <w:rFonts w:ascii="仿宋_GB2312" w:hAnsi="仿宋_GB2312" w:eastAsia="仿宋_GB2312" w:cs="仿宋_GB2312"/>
          <w:sz w:val="32"/>
          <w:szCs w:val="32"/>
        </w:rPr>
      </w:pPr>
      <w:bookmarkStart w:id="525" w:name="_Toc18466"/>
      <w:bookmarkStart w:id="526" w:name="_Toc3849"/>
      <w:bookmarkStart w:id="527" w:name="_Toc32346"/>
      <w:r>
        <w:rPr>
          <w:rStyle w:val="35"/>
          <w:rFonts w:hint="eastAsia" w:ascii="仿宋_GB2312" w:hAnsi="仿宋_GB2312" w:eastAsia="仿宋_GB2312" w:cs="仿宋_GB2312"/>
          <w:lang w:val="en-US" w:eastAsia="zh-CN"/>
        </w:rPr>
        <w:t xml:space="preserve">  </w:t>
      </w:r>
      <w:r>
        <w:rPr>
          <w:rStyle w:val="35"/>
          <w:rFonts w:hint="eastAsia" w:ascii="仿宋_GB2312" w:hAnsi="仿宋_GB2312" w:cs="仿宋_GB2312"/>
        </w:rPr>
        <w:t>1.完善教育督导管理体制。</w:t>
      </w:r>
      <w:bookmarkEnd w:id="525"/>
      <w:r>
        <w:rPr>
          <w:rFonts w:hint="eastAsia" w:ascii="仿宋_GB2312" w:hAnsi="仿宋_GB2312" w:eastAsia="仿宋_GB2312" w:cs="仿宋_GB2312"/>
          <w:sz w:val="32"/>
          <w:szCs w:val="32"/>
        </w:rPr>
        <w:t>聚焦教育督导工作面临的形势和主要困难问题，深化教育督导体制机制改革。按照决策、执行和监督既相互制约又相互支持的原则和强化教育督导、深入推进管办评分离要求，优化管理体制、完善运行机制、强化结果运用，提升教育督导质量和水平，</w:t>
      </w:r>
      <w:commentRangeStart w:id="2"/>
      <w:r>
        <w:rPr>
          <w:rFonts w:hint="eastAsia" w:ascii="仿宋_GB2312" w:hAnsi="仿宋_GB2312" w:eastAsia="仿宋_GB2312" w:cs="仿宋_GB2312"/>
          <w:sz w:val="32"/>
          <w:szCs w:val="32"/>
        </w:rPr>
        <w:t>建成覆盖全面、运转高效、结果权威、问责有力的教育督导体制机制。</w:t>
      </w:r>
      <w:commentRangeEnd w:id="2"/>
      <w:r>
        <w:rPr>
          <w:rFonts w:hint="eastAsia" w:ascii="仿宋_GB2312" w:hAnsi="仿宋_GB2312" w:eastAsia="仿宋_GB2312" w:cs="仿宋_GB2312"/>
          <w:sz w:val="32"/>
          <w:szCs w:val="32"/>
        </w:rPr>
        <w:commentReference w:id="2"/>
      </w:r>
      <w:r>
        <w:rPr>
          <w:rFonts w:hint="eastAsia" w:ascii="仿宋_GB2312" w:hAnsi="仿宋_GB2312" w:eastAsia="仿宋_GB2312" w:cs="仿宋_GB2312"/>
          <w:sz w:val="32"/>
          <w:szCs w:val="32"/>
        </w:rPr>
        <w:t>完善督导机构设置，设立各级教育督导委员会，充分发挥成员单位作用。加强市、县（市、区）二级教育质量监测中心建设。全面落实教育督导督政、督学、评估监测职能，为改善教育管理、优化教育决策、提高教育质量提供科学依据。</w:t>
      </w:r>
      <w:bookmarkEnd w:id="523"/>
      <w:bookmarkEnd w:id="524"/>
      <w:bookmarkEnd w:id="526"/>
      <w:bookmarkEnd w:id="527"/>
    </w:p>
    <w:p>
      <w:pPr>
        <w:adjustRightInd w:val="0"/>
        <w:snapToGrid w:val="0"/>
        <w:spacing w:line="560" w:lineRule="exact"/>
        <w:ind w:firstLine="640" w:firstLineChars="200"/>
        <w:rPr>
          <w:rFonts w:ascii="仿宋_GB2312" w:hAnsi="仿宋_GB2312" w:eastAsia="仿宋_GB2312" w:cs="仿宋_GB2312"/>
          <w:sz w:val="32"/>
          <w:szCs w:val="32"/>
        </w:rPr>
      </w:pPr>
      <w:bookmarkStart w:id="528" w:name="_Toc25102"/>
      <w:bookmarkStart w:id="529" w:name="_Toc67038516"/>
      <w:bookmarkStart w:id="530" w:name="_Toc19799"/>
      <w:bookmarkStart w:id="531" w:name="_Toc512"/>
      <w:bookmarkStart w:id="532" w:name="_Toc27987"/>
      <w:r>
        <w:rPr>
          <w:rStyle w:val="35"/>
          <w:rFonts w:hint="eastAsia" w:ascii="仿宋_GB2312" w:hAnsi="仿宋_GB2312" w:cs="仿宋_GB2312"/>
        </w:rPr>
        <w:t>2.健全教育督导运行机制。</w:t>
      </w:r>
      <w:bookmarkEnd w:id="528"/>
      <w:r>
        <w:rPr>
          <w:rFonts w:hint="eastAsia" w:ascii="仿宋_GB2312" w:hAnsi="仿宋_GB2312" w:eastAsia="仿宋_GB2312" w:cs="仿宋_GB2312"/>
          <w:sz w:val="32"/>
          <w:szCs w:val="32"/>
        </w:rPr>
        <w:t>改进中小学校责任督学挂牌督导工作机制。强化义务教育优质均衡发展督导评估认定和监测复查工作。开展县域学前教育普及普惠督导评估。定期开展教育重点工作和热点、难点问题专项督导。加强对民办学校的全方位督导。加强和改进教育评估监测，建立健全学前教育、义务教育、高中教育、职业教育、高等教育等质量监测制度。积极探索建立各级教育督导机构通过政府购买服务方式，委托第三方评估监测机构和社会组织开展教育评估监测的工作机制，强化信息技术手段应用，加强教育评估监测结果应用，切实提高评估监测实效。</w:t>
      </w:r>
      <w:bookmarkEnd w:id="529"/>
      <w:bookmarkEnd w:id="530"/>
      <w:bookmarkEnd w:id="531"/>
      <w:bookmarkEnd w:id="532"/>
    </w:p>
    <w:p>
      <w:pPr>
        <w:adjustRightInd w:val="0"/>
        <w:snapToGrid w:val="0"/>
        <w:spacing w:line="560" w:lineRule="exact"/>
        <w:ind w:firstLine="640" w:firstLineChars="200"/>
        <w:rPr>
          <w:rFonts w:ascii="仿宋_GB2312" w:hAnsi="仿宋_GB2312" w:eastAsia="仿宋_GB2312" w:cs="仿宋_GB2312"/>
          <w:sz w:val="32"/>
          <w:szCs w:val="32"/>
        </w:rPr>
      </w:pPr>
      <w:bookmarkStart w:id="533" w:name="_Toc5775"/>
      <w:bookmarkStart w:id="534" w:name="_Toc15648"/>
      <w:bookmarkStart w:id="535" w:name="_Toc67038517"/>
      <w:bookmarkStart w:id="536" w:name="_Toc31982"/>
      <w:bookmarkStart w:id="537" w:name="_Toc11562"/>
      <w:r>
        <w:rPr>
          <w:rStyle w:val="35"/>
          <w:rFonts w:hint="eastAsia" w:ascii="仿宋_GB2312" w:hAnsi="仿宋_GB2312" w:cs="仿宋_GB2312"/>
        </w:rPr>
        <w:t>3.深化教育督导问责机制。</w:t>
      </w:r>
      <w:bookmarkEnd w:id="533"/>
      <w:r>
        <w:rPr>
          <w:rFonts w:hint="eastAsia" w:ascii="仿宋_GB2312" w:hAnsi="仿宋_GB2312" w:eastAsia="仿宋_GB2312" w:cs="仿宋_GB2312"/>
          <w:sz w:val="32"/>
          <w:szCs w:val="32"/>
        </w:rPr>
        <w:t>将贯彻落实《中共广东省委办公厅  广东省人民政府办公厅关于深化新时代教育督导体制机制改革的通知》的情况纳入对市、县（市、区）政府履职考核的指标，对各级政府贯彻情况进行考核评价。完善报告制度，规范反馈制度，强化整改制度，健全复查制度，落实激励制度，严肃约谈制度，建立通报制度，压实问责制度，确保教育督导问责有力有效。</w:t>
      </w:r>
      <w:bookmarkEnd w:id="534"/>
      <w:bookmarkEnd w:id="535"/>
      <w:bookmarkEnd w:id="536"/>
      <w:bookmarkEnd w:id="537"/>
    </w:p>
    <w:p>
      <w:pPr>
        <w:adjustRightInd w:val="0"/>
        <w:snapToGrid w:val="0"/>
        <w:spacing w:line="560" w:lineRule="exact"/>
        <w:ind w:firstLine="640" w:firstLineChars="200"/>
        <w:rPr>
          <w:rFonts w:ascii="仿宋_GB2312" w:hAnsi="仿宋_GB2312" w:eastAsia="仿宋_GB2312" w:cs="仿宋_GB2312"/>
          <w:sz w:val="32"/>
          <w:szCs w:val="32"/>
        </w:rPr>
      </w:pPr>
      <w:bookmarkStart w:id="538" w:name="_Toc26670"/>
      <w:bookmarkStart w:id="539" w:name="_Toc67038518"/>
      <w:bookmarkStart w:id="540" w:name="_Toc17359"/>
      <w:bookmarkStart w:id="541" w:name="_Toc1612"/>
      <w:r>
        <w:rPr>
          <w:rStyle w:val="35"/>
          <w:rFonts w:hint="eastAsia" w:ascii="仿宋_GB2312" w:hAnsi="仿宋_GB2312" w:cs="仿宋_GB2312"/>
        </w:rPr>
        <w:t>4.加强督学聘用与管理。</w:t>
      </w:r>
      <w:bookmarkEnd w:id="538"/>
      <w:r>
        <w:rPr>
          <w:rFonts w:hint="eastAsia" w:ascii="仿宋_GB2312" w:hAnsi="仿宋_GB2312" w:eastAsia="仿宋_GB2312" w:cs="仿宋_GB2312"/>
          <w:sz w:val="32"/>
          <w:szCs w:val="32"/>
        </w:rPr>
        <w:t>着力建设一支数量充足、结构合理、业务精湛、廉洁高效、专兼结合的督学队伍。原则上，各地督学按与学校数1∶5的比例配备，部分学生数较多的学校按1∶1的比例配备；专职和兼职督学按照1∶3的比例配备，逐步扩大专职督学比例。从退休时间不长且身体健康的党政干部中，聘请一批政治素质过硬、专业经历丰富、工作责任心强的督学，专门从事督政工作；从退休时间不长且身体健康的校长、教师、专家中，聘请一批业务优秀、敬业乐业、有多岗位从业经验和国际视野的督学，专门从事学校督导工作。建立健全督学培训体系，将督学培训纳入教育管理干部培训计划，有条件的地区可以设立督学培训基地。</w:t>
      </w:r>
      <w:bookmarkEnd w:id="539"/>
      <w:bookmarkEnd w:id="540"/>
      <w:bookmarkEnd w:id="541"/>
    </w:p>
    <w:p>
      <w:pPr>
        <w:pStyle w:val="3"/>
        <w:ind w:firstLine="640"/>
      </w:pPr>
      <w:bookmarkStart w:id="542" w:name="_Toc67038519"/>
      <w:bookmarkStart w:id="543" w:name="_Toc28334"/>
      <w:bookmarkStart w:id="544" w:name="_Toc13365"/>
      <w:bookmarkStart w:id="545" w:name="_Toc1051"/>
      <w:r>
        <w:rPr>
          <w:rFonts w:hint="eastAsia"/>
        </w:rPr>
        <w:t>（七）</w:t>
      </w:r>
      <w:bookmarkEnd w:id="542"/>
      <w:r>
        <w:rPr>
          <w:rFonts w:hint="eastAsia"/>
        </w:rPr>
        <w:t>深化教育对外交流合作</w:t>
      </w:r>
      <w:bookmarkEnd w:id="543"/>
      <w:bookmarkEnd w:id="544"/>
      <w:bookmarkEnd w:id="545"/>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sz w:val="32"/>
          <w:szCs w:val="32"/>
        </w:rPr>
      </w:pPr>
      <w:bookmarkStart w:id="546" w:name="_Toc67038521"/>
      <w:bookmarkStart w:id="547" w:name="_Toc63619563"/>
      <w:bookmarkStart w:id="548" w:name="_Toc9060"/>
      <w:bookmarkStart w:id="549" w:name="_Toc11840"/>
      <w:bookmarkStart w:id="550" w:name="_Toc25344"/>
      <w:r>
        <w:rPr>
          <w:rStyle w:val="35"/>
          <w:rFonts w:hint="eastAsia" w:ascii="仿宋_GB2312" w:hAnsi="仿宋_GB2312" w:cs="仿宋_GB2312"/>
        </w:rPr>
        <w:t>1.</w:t>
      </w:r>
      <w:bookmarkEnd w:id="546"/>
      <w:bookmarkEnd w:id="547"/>
      <w:r>
        <w:rPr>
          <w:rStyle w:val="35"/>
          <w:rFonts w:hint="eastAsia" w:ascii="仿宋_GB2312" w:hAnsi="仿宋_GB2312" w:cs="仿宋_GB2312"/>
        </w:rPr>
        <w:t>推进教育“入珠融湾”。</w:t>
      </w:r>
      <w:bookmarkEnd w:id="548"/>
      <w:r>
        <w:rPr>
          <w:rFonts w:hint="eastAsia" w:ascii="仿宋_GB2312" w:hAnsi="仿宋_GB2312" w:eastAsia="仿宋_GB2312" w:cs="仿宋_GB2312"/>
          <w:sz w:val="32"/>
          <w:szCs w:val="32"/>
        </w:rPr>
        <w:t>搭建教育合作交流平台，支持清远本地学校与粤港澳大湾区（珠三角）的优质学校结成战略伙伴关系联盟，形成长效合作机制，通过对口支援、资源共享、联合办学等方式，促进清远教育水平提高。鼓励结对学校定期开展教师交流活动。组织与粤港澳学校的特色寒、暑假夏令营活动和社会实践活动，增进学生间的了解。大力推进辖区职业教育与粤港澳大湾区的合作交流。鼓励清远职业院校与粤港澳大湾区职业学校</w:t>
      </w:r>
      <w:r>
        <w:rPr>
          <w:rFonts w:hint="eastAsia" w:ascii="仿宋_GB2312" w:hAnsi="仿宋_GB2312" w:eastAsia="仿宋_GB2312" w:cs="仿宋_GB2312"/>
          <w:bCs/>
          <w:sz w:val="32"/>
          <w:szCs w:val="32"/>
        </w:rPr>
        <w:t>建立职业教育产教协同联盟</w:t>
      </w:r>
      <w:r>
        <w:rPr>
          <w:rFonts w:hint="eastAsia" w:ascii="仿宋_GB2312" w:hAnsi="仿宋_GB2312" w:eastAsia="仿宋_GB2312" w:cs="仿宋_GB2312"/>
          <w:sz w:val="32"/>
          <w:szCs w:val="32"/>
        </w:rPr>
        <w:t>，开展深度产教融合、校企合作，共建双师型教师培养培训基地和教师企业实践基地、学生实习实训基地、实验室，共同研制开发X职业技能证书与培训。支持新建一批联合招生、联合培养、一体化育人的现代学徒制试点专业。</w:t>
      </w:r>
      <w:bookmarkEnd w:id="549"/>
      <w:bookmarkEnd w:id="550"/>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b/>
          <w:sz w:val="32"/>
          <w:szCs w:val="32"/>
        </w:rPr>
      </w:pPr>
      <w:bookmarkStart w:id="551" w:name="_Toc67038522"/>
      <w:bookmarkStart w:id="552" w:name="_Toc15370"/>
      <w:bookmarkStart w:id="553" w:name="_Toc13034"/>
      <w:bookmarkStart w:id="554" w:name="_Toc16320"/>
      <w:r>
        <w:rPr>
          <w:rStyle w:val="35"/>
          <w:rFonts w:hint="eastAsia" w:ascii="仿宋_GB2312" w:hAnsi="仿宋_GB2312" w:cs="仿宋_GB2312"/>
        </w:rPr>
        <w:t>2.</w:t>
      </w:r>
      <w:bookmarkEnd w:id="551"/>
      <w:r>
        <w:rPr>
          <w:rStyle w:val="35"/>
          <w:rFonts w:hint="eastAsia" w:ascii="仿宋_GB2312" w:hAnsi="仿宋_GB2312" w:cs="仿宋_GB2312"/>
        </w:rPr>
        <w:t>加强对外教育交流与合作。</w:t>
      </w:r>
      <w:bookmarkEnd w:id="552"/>
      <w:r>
        <w:rPr>
          <w:rFonts w:hint="eastAsia" w:ascii="仿宋_GB2312" w:hAnsi="仿宋_GB2312" w:eastAsia="仿宋_GB2312" w:cs="仿宋_GB2312"/>
          <w:bCs/>
          <w:sz w:val="32"/>
          <w:szCs w:val="32"/>
        </w:rPr>
        <w:t>推动与“一带一路”国家教育合作与人文交流。鼓励有条件的职业院校配合广东企业、产能、产品“走出去”，探索开展多形式的国外合作办学。支持本地学校与“一带一路”沿线国家学校开展成立教育联盟、签订合作协议、缔结姊妹（友好）学校等合作交流模式。鼓励本地学校与合作学校开展教师交流与培训、学生交流与交换、教学资源共建共享等交流与合作。积极参与推广华文教育。积极参与人文交流机制，开展本地特色传统文化传播项目。</w:t>
      </w:r>
      <w:bookmarkEnd w:id="553"/>
      <w:bookmarkEnd w:id="554"/>
    </w:p>
    <w:p>
      <w:pPr>
        <w:widowControl/>
        <w:wordWrap/>
        <w:adjustRightInd/>
        <w:snapToGrid/>
        <w:spacing w:line="560" w:lineRule="exact"/>
        <w:ind w:left="0" w:leftChars="0" w:right="0" w:firstLine="640" w:firstLineChars="200"/>
        <w:jc w:val="both"/>
        <w:textAlignment w:val="baseline"/>
        <w:outlineLvl w:val="9"/>
        <w:rPr>
          <w:rFonts w:ascii="仿宋_GB2312" w:hAnsi="仿宋_GB2312" w:eastAsia="仿宋_GB2312" w:cs="仿宋_GB2312"/>
          <w:b/>
          <w:sz w:val="32"/>
          <w:szCs w:val="32"/>
        </w:rPr>
      </w:pPr>
      <w:bookmarkStart w:id="555" w:name="_Toc3838"/>
      <w:bookmarkStart w:id="556" w:name="_Toc30219"/>
      <w:bookmarkStart w:id="557" w:name="_Toc24456"/>
      <w:r>
        <w:rPr>
          <w:rStyle w:val="35"/>
          <w:rFonts w:hint="eastAsia" w:ascii="仿宋_GB2312" w:hAnsi="仿宋_GB2312" w:cs="仿宋_GB2312"/>
        </w:rPr>
        <w:t>3.加快培养高素质国际化人才。</w:t>
      </w:r>
      <w:bookmarkEnd w:id="555"/>
      <w:bookmarkEnd w:id="556"/>
      <w:bookmarkEnd w:id="557"/>
      <w:r>
        <w:rPr>
          <w:rFonts w:hint="eastAsia" w:ascii="仿宋_GB2312" w:hAnsi="仿宋_GB2312" w:eastAsia="仿宋_GB2312" w:cs="仿宋_GB2312"/>
          <w:bCs/>
          <w:sz w:val="32"/>
          <w:szCs w:val="32"/>
        </w:rPr>
        <w:t>全面开展大中小学国际理解教育，</w:t>
      </w:r>
      <w:r>
        <w:rPr>
          <w:rFonts w:hint="eastAsia" w:ascii="仿宋_GB2312" w:hAnsi="仿宋_GB2312" w:eastAsia="仿宋_GB2312" w:cs="仿宋_GB2312"/>
          <w:sz w:val="32"/>
          <w:szCs w:val="32"/>
        </w:rPr>
        <w:t>培养学生的国际视野和开放思维，增强跨文化交往能力。鼓励中小学与国外学校缔结姊妹学校、友好学校。根据本地经济发展需要，支持职业学校引进符合需求的高水平的中外合作办学项目。鼓励职业院校与中外合作企业、外资企业开展深度产教融合，联合培养人才。积极学习借鉴、推广世界知名职业院校的办学经验，加快提升职业教育办学质量和国际化水平。支持学校教师、科研和教育教学管理人员开展对外学术交流与师资培训。加强中小学校长、骨干教师赴境外国外交流。鼓励职业院校学生赴中外合作企业、外资企业见习、实习。鼓励学生与海外合作院校开展交换生活动、短期访问交流活动、语言文化交流项目活动，参加国际职业技能大赛，提升学生的职业技能国际化水平。</w:t>
      </w:r>
    </w:p>
    <w:p>
      <w:pPr>
        <w:rPr>
          <w:rStyle w:val="39"/>
          <w:rFonts w:hint="default"/>
        </w:rPr>
      </w:pPr>
      <w:bookmarkStart w:id="558" w:name="_Toc67038523"/>
      <w:bookmarkStart w:id="559" w:name="_Toc1568"/>
      <w:bookmarkStart w:id="560" w:name="_Toc12069"/>
    </w:p>
    <w:p>
      <w:pPr>
        <w:spacing w:line="560" w:lineRule="exact"/>
        <w:jc w:val="center"/>
        <w:rPr>
          <w:rStyle w:val="39"/>
          <w:rFonts w:hint="default"/>
        </w:rPr>
      </w:pPr>
      <w:bookmarkStart w:id="561" w:name="_Toc24570"/>
      <w:bookmarkStart w:id="562" w:name="_Toc5556"/>
      <w:bookmarkStart w:id="563" w:name="_Toc31211"/>
      <w:r>
        <w:rPr>
          <w:rStyle w:val="39"/>
          <w:rFonts w:hint="default"/>
        </w:rPr>
        <w:t>六、保障措施</w:t>
      </w:r>
      <w:bookmarkEnd w:id="558"/>
      <w:bookmarkEnd w:id="559"/>
      <w:bookmarkEnd w:id="560"/>
    </w:p>
    <w:bookmarkEnd w:id="561"/>
    <w:bookmarkEnd w:id="562"/>
    <w:bookmarkEnd w:id="563"/>
    <w:p>
      <w:pPr>
        <w:pStyle w:val="3"/>
        <w:widowControl/>
        <w:wordWrap/>
        <w:spacing w:line="560" w:lineRule="exact"/>
        <w:ind w:left="0" w:leftChars="0" w:right="0" w:firstLine="640" w:firstLineChars="200"/>
        <w:jc w:val="both"/>
        <w:textAlignment w:val="baseline"/>
      </w:pPr>
      <w:bookmarkStart w:id="564" w:name="_Toc13964"/>
      <w:bookmarkStart w:id="565" w:name="_Toc13182"/>
      <w:bookmarkStart w:id="566" w:name="_Toc67038524"/>
      <w:bookmarkStart w:id="567" w:name="_Toc8484"/>
      <w:bookmarkStart w:id="568" w:name="_Toc4875"/>
      <w:bookmarkStart w:id="569" w:name="_Toc13961"/>
      <w:bookmarkStart w:id="570" w:name="_Toc29855"/>
      <w:r>
        <w:rPr>
          <w:rFonts w:hint="eastAsia"/>
        </w:rPr>
        <w:t>（一）组织保障</w:t>
      </w:r>
      <w:bookmarkEnd w:id="564"/>
      <w:bookmarkEnd w:id="565"/>
      <w:bookmarkEnd w:id="566"/>
      <w:bookmarkEnd w:id="567"/>
      <w:bookmarkEnd w:id="568"/>
      <w:bookmarkEnd w:id="569"/>
      <w:bookmarkEnd w:id="570"/>
    </w:p>
    <w:p>
      <w:pPr>
        <w:widowControl/>
        <w:wordWrap/>
        <w:spacing w:line="560" w:lineRule="exact"/>
        <w:ind w:left="0" w:leftChars="0" w:right="0" w:firstLine="640" w:firstLineChars="20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持续落实习近平总书记关于教育工作的重要指示批示精神和党的建设重要论述，全面落实党的教育方针和党中央重大决策部署，落实各级党委及政府发展教育的领导责任。加快各级各类学校基层党组织及党员队伍的建设，加深党建与学校中心工作有机融合，把党的领导贯穿于教学、科研、管理和人才培养活动的全过程，坚持党建工作和业务工作同谋划、同部署、同研究、同考核。牢牢掌握思想引领主导权，增强“四个意识”、坚定“四个自信”、做到“两个维护”。</w:t>
      </w:r>
    </w:p>
    <w:p>
      <w:pPr>
        <w:pStyle w:val="3"/>
        <w:widowControl/>
        <w:wordWrap/>
        <w:spacing w:line="560" w:lineRule="exact"/>
        <w:ind w:left="0" w:leftChars="0" w:right="0" w:firstLine="640" w:firstLineChars="200"/>
        <w:jc w:val="both"/>
        <w:textAlignment w:val="baseline"/>
      </w:pPr>
      <w:bookmarkStart w:id="571" w:name="_Toc67038525"/>
      <w:bookmarkStart w:id="572" w:name="_Toc4896"/>
      <w:bookmarkStart w:id="573" w:name="_Toc10595"/>
      <w:bookmarkStart w:id="574" w:name="_Toc23963"/>
      <w:bookmarkStart w:id="575" w:name="_Toc18111"/>
      <w:bookmarkStart w:id="576" w:name="_Toc15949"/>
      <w:bookmarkStart w:id="577" w:name="_Toc23960"/>
      <w:r>
        <w:rPr>
          <w:rFonts w:hint="eastAsia"/>
        </w:rPr>
        <w:t>（二）资源保障</w:t>
      </w:r>
      <w:bookmarkEnd w:id="571"/>
      <w:bookmarkEnd w:id="572"/>
      <w:bookmarkEnd w:id="573"/>
      <w:bookmarkEnd w:id="574"/>
      <w:bookmarkEnd w:id="575"/>
      <w:bookmarkEnd w:id="576"/>
      <w:bookmarkEnd w:id="577"/>
    </w:p>
    <w:p>
      <w:pPr>
        <w:widowControl/>
        <w:wordWrap/>
        <w:spacing w:line="560" w:lineRule="exact"/>
        <w:ind w:left="0" w:leftChars="0" w:right="0" w:firstLine="640" w:firstLineChars="20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行以各级政府为管理核心、多部门联动的联席会议会商工作制度等方式来实现部门协调，推动学校布局规划与国民经济和社会发展总体规划、土地利用总体规划、城乡规划多规融合,符合地区城镇化发展、产业布局及人口流动趋势变化，确保建设用地供给优先保障教育设施建设需求。各级政府要制订学校规划建设优先政策,建立发展改革教育、财政、自然资源、住房建设、规划等部门并联审批学校建设项目的工作机制。建立绿色通道,加快项目审批和工程建设进度。</w:t>
      </w:r>
      <w:r>
        <w:rPr>
          <w:rFonts w:hint="eastAsia" w:ascii="仿宋_GB2312" w:hAnsi="仿宋_GB2312" w:eastAsia="仿宋_GB2312" w:cs="仿宋_GB2312"/>
          <w:color w:val="000000"/>
          <w:kern w:val="0"/>
          <w:sz w:val="32"/>
          <w:szCs w:val="32"/>
        </w:rPr>
        <w:t>健全政府投入为主、多渠道筹措经费的教育投入体制，落实教育领域省级与地级以上市、县（市、区）财政事权和支出责任划分改革要求，充分发挥省级财政示范引领作用，压实市县主体责任，通过政策、制度、标准、项目实施等带动财政投入，确保落实教育经费“两个只增不减”。加大财政教育资金保障力度，实施差别化教育转移支付政策。全面落实各级公办学校生均经费基本标准和生均财政拨款基本标准，并建立健全动态调整机制。完善非义务教育培养成本分担机制，按权限和程序适时调整非义务教育学费（保教费）、住宿费等收费标准，建立与社会发展水平相适应的收费动态调整机制。</w:t>
      </w:r>
      <w:r>
        <w:rPr>
          <w:rFonts w:hint="eastAsia" w:ascii="仿宋_GB2312" w:hAnsi="仿宋_GB2312" w:eastAsia="仿宋_GB2312" w:cs="仿宋_GB2312"/>
          <w:color w:val="000000"/>
          <w:sz w:val="32"/>
          <w:szCs w:val="32"/>
        </w:rPr>
        <w:t>各级政府要完善政府补贴、政府购买服务、基金奖励、捐资激励、土地划拨等政策制度，依法落实税费减免政策，引导社会力量加大教育投入，逐步提高教育经费总投入中社会投入所占比重。基本建成全方位、全过程、全覆盖的教育预算绩效管理，实现“花钱必问效、无效必问责”。健全教育经费使用内部控制，完善经费统计公告和财务信息公开制度。加强教育内部审计，积极推进审计和审计整改全覆盖</w:t>
      </w:r>
      <w:r>
        <w:rPr>
          <w:rFonts w:hint="eastAsia" w:ascii="仿宋_GB2312" w:hAnsi="仿宋_GB2312" w:eastAsia="仿宋_GB2312" w:cs="仿宋_GB2312"/>
          <w:color w:val="000000"/>
          <w:kern w:val="0"/>
          <w:sz w:val="32"/>
          <w:szCs w:val="32"/>
        </w:rPr>
        <w:t>。</w:t>
      </w:r>
    </w:p>
    <w:p>
      <w:pPr>
        <w:pStyle w:val="3"/>
        <w:widowControl/>
        <w:wordWrap/>
        <w:spacing w:line="560" w:lineRule="exact"/>
        <w:ind w:left="0" w:leftChars="0" w:right="0" w:firstLine="640" w:firstLineChars="200"/>
        <w:jc w:val="both"/>
        <w:textAlignment w:val="baseline"/>
      </w:pPr>
      <w:bookmarkStart w:id="578" w:name="_Toc67038526"/>
      <w:bookmarkStart w:id="579" w:name="_Toc11977"/>
      <w:bookmarkStart w:id="580" w:name="_Toc2502"/>
      <w:bookmarkStart w:id="581" w:name="_Toc18462"/>
      <w:bookmarkStart w:id="582" w:name="_Toc27430"/>
      <w:bookmarkStart w:id="583" w:name="_Toc13147"/>
      <w:bookmarkStart w:id="584" w:name="_Toc26233"/>
      <w:bookmarkStart w:id="585" w:name="_Toc30758"/>
      <w:r>
        <w:rPr>
          <w:rFonts w:hint="eastAsia"/>
        </w:rPr>
        <w:t>（三）智力保障</w:t>
      </w:r>
      <w:bookmarkEnd w:id="578"/>
      <w:bookmarkEnd w:id="579"/>
      <w:bookmarkEnd w:id="580"/>
      <w:bookmarkEnd w:id="581"/>
      <w:bookmarkEnd w:id="582"/>
      <w:bookmarkEnd w:id="583"/>
    </w:p>
    <w:p>
      <w:pPr>
        <w:widowControl/>
        <w:wordWrap/>
        <w:spacing w:line="560" w:lineRule="exact"/>
        <w:ind w:left="0" w:leftChars="0" w:right="0" w:firstLine="640" w:firstLineChars="20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新型教育智库体系建设。形成包括市、县（市、区）教育科研及教学研究机构和各级各类学校教育科研组织，以及教育类学会（协会）、民间教育智库等在内的一流新型教育智库体系，着力服务教育决策、创新教育理论、指导教育实践、引导教育舆论。理顺市、县（市、区）、各校教育科研及教学研究管理体制，建立健全各级各类教育科研及教学研究机构工作机制，发挥不同类型不同层级教育科研及教学研究机构的特色优势，建立与党委政府、行业企业、学校以及其他社会组织协同创新机制，对教育和教学重点、热点、难点问题持续跟踪，提高教育决策科学化水平和教育实践专业化质量。</w:t>
      </w:r>
    </w:p>
    <w:p>
      <w:pPr>
        <w:pStyle w:val="3"/>
        <w:widowControl/>
        <w:wordWrap/>
        <w:spacing w:line="560" w:lineRule="exact"/>
        <w:ind w:left="0" w:leftChars="0" w:right="0" w:firstLine="640" w:firstLineChars="200"/>
        <w:jc w:val="both"/>
        <w:textAlignment w:val="baseline"/>
      </w:pPr>
      <w:bookmarkStart w:id="586" w:name="_Toc67038527"/>
      <w:bookmarkStart w:id="587" w:name="_Toc12355"/>
      <w:bookmarkStart w:id="588" w:name="_Toc9471"/>
      <w:bookmarkStart w:id="589" w:name="_Toc20319"/>
      <w:bookmarkStart w:id="590" w:name="_Toc27707"/>
      <w:r>
        <w:rPr>
          <w:rFonts w:hint="eastAsia"/>
        </w:rPr>
        <w:t>（四）</w:t>
      </w:r>
      <w:bookmarkEnd w:id="584"/>
      <w:bookmarkEnd w:id="585"/>
      <w:r>
        <w:rPr>
          <w:rFonts w:hint="eastAsia"/>
        </w:rPr>
        <w:t>安全保障</w:t>
      </w:r>
      <w:bookmarkEnd w:id="586"/>
      <w:bookmarkEnd w:id="587"/>
      <w:bookmarkEnd w:id="588"/>
      <w:bookmarkEnd w:id="589"/>
      <w:bookmarkEnd w:id="590"/>
      <w:r>
        <w:rPr>
          <w:rFonts w:hint="eastAsia"/>
        </w:rPr>
        <w:t xml:space="preserve"> </w:t>
      </w:r>
    </w:p>
    <w:p>
      <w:pPr>
        <w:widowControl/>
        <w:wordWrap/>
        <w:spacing w:line="560" w:lineRule="exact"/>
        <w:ind w:left="0" w:leftChars="0" w:right="0" w:firstLine="640" w:firstLineChars="20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明确安全工作具体标准和要求，配齐配足安保人员和安防设施设备，完善学校安保人员培训机制,建设一支高素质专业化校园安保队伍。全面深化平安校园建设，通过加强网络安全保障体系和应急指挥体系建设, 构建系统化、智能化、精细化、协同化一体的安全治理平台，利用信息化、大数据手段不断增强校园安全治理现代化。明确“现代化平安校园”创建统一评价指标，建立学校“安全指数”制度，并实施“现代化平安校园”考评,逐步推进校园安全工作任务项目化、项目清单化、清单责任化，强化底线、标线、高线意识，全面推进立体管控，创建高质量高水平的平安校园。</w:t>
      </w:r>
    </w:p>
    <w:p>
      <w:pPr>
        <w:pStyle w:val="3"/>
        <w:widowControl/>
        <w:wordWrap/>
        <w:spacing w:line="560" w:lineRule="exact"/>
        <w:ind w:left="0" w:leftChars="0" w:right="0" w:firstLine="640" w:firstLineChars="200"/>
        <w:jc w:val="both"/>
        <w:textAlignment w:val="baseline"/>
      </w:pPr>
      <w:bookmarkStart w:id="591" w:name="_Toc67038528"/>
      <w:bookmarkStart w:id="592" w:name="_Toc3261"/>
      <w:bookmarkStart w:id="593" w:name="_Toc2062"/>
      <w:bookmarkStart w:id="594" w:name="_Toc31959"/>
      <w:bookmarkStart w:id="595" w:name="_Toc3731"/>
      <w:bookmarkStart w:id="596" w:name="_Toc22885"/>
      <w:bookmarkStart w:id="597" w:name="_Toc3769"/>
      <w:r>
        <w:rPr>
          <w:rFonts w:hint="eastAsia"/>
        </w:rPr>
        <w:t>（五）机制保障</w:t>
      </w:r>
      <w:bookmarkEnd w:id="591"/>
      <w:bookmarkEnd w:id="592"/>
      <w:bookmarkEnd w:id="593"/>
      <w:bookmarkEnd w:id="594"/>
      <w:bookmarkEnd w:id="595"/>
    </w:p>
    <w:p>
      <w:pPr>
        <w:widowControl/>
        <w:wordWrap/>
        <w:adjustRightInd w:val="0"/>
        <w:snapToGrid w:val="0"/>
        <w:spacing w:line="560" w:lineRule="exact"/>
        <w:ind w:left="0" w:leftChars="0" w:right="0" w:firstLine="640" w:firstLineChars="20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级政府及其职能部门要把贯彻落实本规划、推进教育优先发展、高质量发展作为“十四五”履行教育职责的核心任务，各级各类学校要把贯彻落实本规划、实现立德树人作为“十四五”高质量发展的重要前提。要健全规划落实责任分工和工作协同机制，形成相向而行的破解教育发展主要矛盾、解决教育高质量发展困难问题的强大合力。要将规划目标任务分解到本地本部门、本学校每年度的工作计划中，加强年度、期中、期末规划落实监测评估，及时调整优化目标任务和策略办法，确保本规划目标任务得到全面实现。</w:t>
      </w:r>
    </w:p>
    <w:p>
      <w:pPr>
        <w:pStyle w:val="3"/>
        <w:widowControl/>
        <w:wordWrap/>
        <w:spacing w:line="560" w:lineRule="exact"/>
        <w:ind w:left="0" w:leftChars="0" w:right="0" w:firstLine="640" w:firstLineChars="200"/>
        <w:jc w:val="both"/>
        <w:textAlignment w:val="baseline"/>
      </w:pPr>
      <w:bookmarkStart w:id="598" w:name="_Toc67038529"/>
      <w:bookmarkStart w:id="599" w:name="_Toc21676"/>
      <w:bookmarkStart w:id="600" w:name="_Toc27730"/>
      <w:bookmarkStart w:id="601" w:name="_Toc22194"/>
      <w:bookmarkStart w:id="602" w:name="_Toc3666"/>
      <w:r>
        <w:rPr>
          <w:rFonts w:hint="eastAsia"/>
        </w:rPr>
        <w:t>（六）舆论保障</w:t>
      </w:r>
      <w:bookmarkEnd w:id="596"/>
      <w:bookmarkEnd w:id="597"/>
      <w:bookmarkEnd w:id="598"/>
      <w:bookmarkEnd w:id="599"/>
      <w:bookmarkEnd w:id="600"/>
      <w:bookmarkEnd w:id="601"/>
      <w:bookmarkEnd w:id="602"/>
    </w:p>
    <w:p>
      <w:pPr>
        <w:widowControl/>
        <w:wordWrap/>
        <w:spacing w:line="560" w:lineRule="exact"/>
        <w:ind w:left="0" w:leftChars="0" w:right="0"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要强化舆论开道、舆论引导，旗帜鲜明地宣传解读政府部门的教育决策部署。在报道载体、栏目设置和活动策划上，做好整体谋划，强化协调联动、上下联动，加强统一指挥调度，上下左右一盘棋做好上宣外宣和正面宣传，旗帜鲜明贯穿始终地弘扬守正创新的发展理念。牢牢把握舆论引导的时度效，加大教育典型挖掘力度，旗帜鲜明地宣传优秀教育典型事例，让更多典型成为最直接有效的宣传标杆示范。强化新闻监督、舆论监督，直面不法问题和教师队伍作风问题，激浊扬清，营造良性教育生态。强化线上线下保障，充分发挥媒体融合创新的力量，做到科学、有效、法治，大力营造清朗网络空间和舆论氛围。</w:t>
      </w:r>
    </w:p>
    <w:p>
      <w:pPr>
        <w:widowControl/>
        <w:wordWrap/>
        <w:spacing w:line="560" w:lineRule="exact"/>
        <w:ind w:left="0" w:leftChars="0" w:right="0" w:firstLine="640" w:firstLineChars="200"/>
        <w:jc w:val="both"/>
        <w:textAlignment w:val="baseline"/>
        <w:rPr>
          <w:rFonts w:hint="eastAsia" w:ascii="仿宋_GB2312" w:hAnsi="仿宋_GB2312" w:eastAsia="仿宋_GB2312" w:cs="仿宋_GB2312"/>
          <w:color w:val="000000"/>
          <w:sz w:val="32"/>
          <w:szCs w:val="32"/>
          <w:lang w:eastAsia="zh-CN"/>
        </w:rPr>
      </w:pPr>
    </w:p>
    <w:sectPr>
      <w:footerReference r:id="rId7" w:type="default"/>
      <w:pgSz w:w="11906" w:h="16838"/>
      <w:pgMar w:top="1440" w:right="1800" w:bottom="1440" w:left="1800" w:header="851" w:footer="992" w:gutter="0"/>
      <w:pgNumType w:fmt="numberInDash"/>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琪兒是淸新小女子❀" w:date="2021-04-28T17:21:00Z" w:initials="">
    <w:p>
      <w:pPr>
        <w:pStyle w:val="6"/>
      </w:pPr>
      <w:r>
        <w:rPr>
          <w:rFonts w:hint="eastAsia"/>
        </w:rPr>
        <w:t>此处已修改。</w:t>
      </w:r>
    </w:p>
  </w:comment>
  <w:comment w:id="1" w:author="琪兒是淸新小女子❀" w:date="2021-04-28T17:26:00Z" w:initials="">
    <w:p>
      <w:pPr>
        <w:pStyle w:val="6"/>
      </w:pPr>
      <w:r>
        <w:rPr>
          <w:rFonts w:hint="eastAsia"/>
        </w:rPr>
        <w:t>此处已作修改。</w:t>
      </w:r>
    </w:p>
  </w:comment>
  <w:comment w:id="2" w:author="琪兒是淸新小女子❀" w:date="2021-04-28T17:22:00Z" w:initials="">
    <w:p>
      <w:pPr>
        <w:pStyle w:val="6"/>
      </w:pPr>
      <w:r>
        <w:rPr>
          <w:rFonts w:hint="eastAsia"/>
        </w:rPr>
        <w:t>此处已作修改。</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ascii="Times New Roman" w:hAnsi="Times New Roman" w:cs="Times New Roman"/>
      </w:rPr>
    </w:pPr>
    <w:r>
      <w:rPr>
        <w:rFonts w:ascii="Calibri" w:hAnsi="Calibri" w:eastAsia="宋体" w:cs="黑体"/>
        <w:kern w:val="2"/>
        <w:sz w:val="18"/>
        <w:szCs w:val="24"/>
        <w:lang w:val="en-US" w:eastAsia="zh-CN" w:bidi="ar-SA"/>
      </w:rPr>
      <w:pict>
        <v:rect id="文本框 4" o:spid="_x0000_s1025" style="position:absolute;left:0;margin-top:0pt;height:18.15pt;width:35.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rPr>
                    <w:rFonts w:ascii="宋体" w:hAnsi="宋体" w:cs="宋体"/>
                    <w:sz w:val="28"/>
                    <w:szCs w:val="28"/>
                  </w:rPr>
                </w:pPr>
              </w:p>
            </w:txbxContent>
          </v:textbox>
        </v:rect>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ascii="Times New Roman" w:hAnsi="Times New Roman" w:cs="Times New Roman"/>
      </w:rPr>
    </w:pPr>
    <w:r>
      <w:rPr>
        <w:rFonts w:ascii="Calibri" w:hAnsi="Calibri" w:eastAsia="宋体" w:cs="黑体"/>
        <w:kern w:val="2"/>
        <w:sz w:val="18"/>
        <w:szCs w:val="24"/>
        <w:lang w:val="en-US" w:eastAsia="zh-CN" w:bidi="ar-SA"/>
      </w:rPr>
      <w:pict>
        <v:rect id="文本框 4" o:spid="_x0000_s1026" style="position:absolute;left:0;margin-top:0pt;height:18.15pt;width:35.05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rect>
      </w:pic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ascii="Times New Roman" w:hAnsi="Times New Roman" w:cs="Times New Roman"/>
      </w:rPr>
    </w:pPr>
    <w:r>
      <w:rPr>
        <w:rFonts w:ascii="Calibri" w:hAnsi="Calibri" w:eastAsia="宋体" w:cs="黑体"/>
        <w:kern w:val="2"/>
        <w:sz w:val="18"/>
        <w:szCs w:val="24"/>
        <w:lang w:val="en-US" w:eastAsia="zh-CN" w:bidi="ar-SA"/>
      </w:rPr>
      <w:pict>
        <v:rect id="文本框 4" o:spid="_x0000_s1027" style="position:absolute;left:0;margin-top:0pt;height:18.15pt;width:35.05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rect>
      </w:pict>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0CE712E"/>
    <w:rsid w:val="00005D3B"/>
    <w:rsid w:val="00006B24"/>
    <w:rsid w:val="00031121"/>
    <w:rsid w:val="00034C4B"/>
    <w:rsid w:val="00042C52"/>
    <w:rsid w:val="00050081"/>
    <w:rsid w:val="00052C9C"/>
    <w:rsid w:val="0006262E"/>
    <w:rsid w:val="00082EB0"/>
    <w:rsid w:val="000940E4"/>
    <w:rsid w:val="000C6F68"/>
    <w:rsid w:val="000F4B28"/>
    <w:rsid w:val="000F55AB"/>
    <w:rsid w:val="00103BB8"/>
    <w:rsid w:val="00124278"/>
    <w:rsid w:val="00130F70"/>
    <w:rsid w:val="00141CA2"/>
    <w:rsid w:val="00150C44"/>
    <w:rsid w:val="0017311B"/>
    <w:rsid w:val="00176A67"/>
    <w:rsid w:val="00177AB8"/>
    <w:rsid w:val="00193EDA"/>
    <w:rsid w:val="001B4B59"/>
    <w:rsid w:val="001B78EC"/>
    <w:rsid w:val="001C3647"/>
    <w:rsid w:val="001C5E45"/>
    <w:rsid w:val="001C7EA0"/>
    <w:rsid w:val="001D07B6"/>
    <w:rsid w:val="001E7C89"/>
    <w:rsid w:val="00204A4E"/>
    <w:rsid w:val="00222AD6"/>
    <w:rsid w:val="00230231"/>
    <w:rsid w:val="00272310"/>
    <w:rsid w:val="00275356"/>
    <w:rsid w:val="002A4672"/>
    <w:rsid w:val="002B6C20"/>
    <w:rsid w:val="002F12AB"/>
    <w:rsid w:val="00302703"/>
    <w:rsid w:val="00311B82"/>
    <w:rsid w:val="00320778"/>
    <w:rsid w:val="0032790A"/>
    <w:rsid w:val="00337FDF"/>
    <w:rsid w:val="0034299A"/>
    <w:rsid w:val="00346124"/>
    <w:rsid w:val="00351286"/>
    <w:rsid w:val="0036685A"/>
    <w:rsid w:val="003704A6"/>
    <w:rsid w:val="003923AA"/>
    <w:rsid w:val="003933FC"/>
    <w:rsid w:val="003A2E19"/>
    <w:rsid w:val="003A4D9F"/>
    <w:rsid w:val="003A6797"/>
    <w:rsid w:val="003B0F9F"/>
    <w:rsid w:val="003D0520"/>
    <w:rsid w:val="003D2FDE"/>
    <w:rsid w:val="00405176"/>
    <w:rsid w:val="00433B37"/>
    <w:rsid w:val="0048459B"/>
    <w:rsid w:val="0049422A"/>
    <w:rsid w:val="004954F6"/>
    <w:rsid w:val="004A5923"/>
    <w:rsid w:val="004D1FD7"/>
    <w:rsid w:val="004D3424"/>
    <w:rsid w:val="004D6272"/>
    <w:rsid w:val="005073AC"/>
    <w:rsid w:val="00514FDD"/>
    <w:rsid w:val="00516304"/>
    <w:rsid w:val="00524A62"/>
    <w:rsid w:val="00531468"/>
    <w:rsid w:val="0055096A"/>
    <w:rsid w:val="00584731"/>
    <w:rsid w:val="00587E3A"/>
    <w:rsid w:val="00596A2F"/>
    <w:rsid w:val="00597B9F"/>
    <w:rsid w:val="005A33EB"/>
    <w:rsid w:val="005A672B"/>
    <w:rsid w:val="005A74ED"/>
    <w:rsid w:val="005B0777"/>
    <w:rsid w:val="005F1020"/>
    <w:rsid w:val="005F2658"/>
    <w:rsid w:val="0061197C"/>
    <w:rsid w:val="00623E73"/>
    <w:rsid w:val="00625B2D"/>
    <w:rsid w:val="006321B5"/>
    <w:rsid w:val="00640377"/>
    <w:rsid w:val="006628EF"/>
    <w:rsid w:val="006670AF"/>
    <w:rsid w:val="006751A0"/>
    <w:rsid w:val="006776BC"/>
    <w:rsid w:val="00682318"/>
    <w:rsid w:val="00685304"/>
    <w:rsid w:val="00687667"/>
    <w:rsid w:val="006B4188"/>
    <w:rsid w:val="006C5A37"/>
    <w:rsid w:val="006E316E"/>
    <w:rsid w:val="006F0AAB"/>
    <w:rsid w:val="00711784"/>
    <w:rsid w:val="007160AD"/>
    <w:rsid w:val="007259BF"/>
    <w:rsid w:val="00731FD7"/>
    <w:rsid w:val="00753218"/>
    <w:rsid w:val="00756F6C"/>
    <w:rsid w:val="0076167D"/>
    <w:rsid w:val="00764CB2"/>
    <w:rsid w:val="00786590"/>
    <w:rsid w:val="007865B3"/>
    <w:rsid w:val="007B4351"/>
    <w:rsid w:val="007B786F"/>
    <w:rsid w:val="007D1722"/>
    <w:rsid w:val="007D3452"/>
    <w:rsid w:val="007D7B19"/>
    <w:rsid w:val="007E1895"/>
    <w:rsid w:val="007E3411"/>
    <w:rsid w:val="007E359A"/>
    <w:rsid w:val="007E53E0"/>
    <w:rsid w:val="007F0047"/>
    <w:rsid w:val="007F0A85"/>
    <w:rsid w:val="00827B84"/>
    <w:rsid w:val="00847ECC"/>
    <w:rsid w:val="008542B8"/>
    <w:rsid w:val="00855F34"/>
    <w:rsid w:val="0085634E"/>
    <w:rsid w:val="008628BA"/>
    <w:rsid w:val="0088472B"/>
    <w:rsid w:val="00885D54"/>
    <w:rsid w:val="00887888"/>
    <w:rsid w:val="008C44AD"/>
    <w:rsid w:val="008D6B9D"/>
    <w:rsid w:val="008E49AA"/>
    <w:rsid w:val="009120D9"/>
    <w:rsid w:val="00927164"/>
    <w:rsid w:val="00947A2B"/>
    <w:rsid w:val="0095672D"/>
    <w:rsid w:val="00994765"/>
    <w:rsid w:val="009D4DDE"/>
    <w:rsid w:val="009E7AC0"/>
    <w:rsid w:val="00A0401E"/>
    <w:rsid w:val="00A0587A"/>
    <w:rsid w:val="00A14FEE"/>
    <w:rsid w:val="00A17FA4"/>
    <w:rsid w:val="00A47BD8"/>
    <w:rsid w:val="00A47DE2"/>
    <w:rsid w:val="00A51A4B"/>
    <w:rsid w:val="00A575D7"/>
    <w:rsid w:val="00AB61E8"/>
    <w:rsid w:val="00AC1CC3"/>
    <w:rsid w:val="00AC4DA2"/>
    <w:rsid w:val="00AC56C9"/>
    <w:rsid w:val="00AD74F3"/>
    <w:rsid w:val="00AE168B"/>
    <w:rsid w:val="00AF5DB7"/>
    <w:rsid w:val="00B05C2D"/>
    <w:rsid w:val="00B2155A"/>
    <w:rsid w:val="00B22751"/>
    <w:rsid w:val="00B24C61"/>
    <w:rsid w:val="00B401BF"/>
    <w:rsid w:val="00B629A0"/>
    <w:rsid w:val="00B76FD3"/>
    <w:rsid w:val="00B77CB9"/>
    <w:rsid w:val="00B8150D"/>
    <w:rsid w:val="00B9493A"/>
    <w:rsid w:val="00BB5D0B"/>
    <w:rsid w:val="00BB6E89"/>
    <w:rsid w:val="00BC032B"/>
    <w:rsid w:val="00BC57E4"/>
    <w:rsid w:val="00BC5CEB"/>
    <w:rsid w:val="00BF0CBB"/>
    <w:rsid w:val="00C05C03"/>
    <w:rsid w:val="00C10123"/>
    <w:rsid w:val="00C132EA"/>
    <w:rsid w:val="00C22ADC"/>
    <w:rsid w:val="00C24DC8"/>
    <w:rsid w:val="00C426C7"/>
    <w:rsid w:val="00C7593B"/>
    <w:rsid w:val="00C77D36"/>
    <w:rsid w:val="00C86F56"/>
    <w:rsid w:val="00C9499F"/>
    <w:rsid w:val="00CC2F46"/>
    <w:rsid w:val="00CF2179"/>
    <w:rsid w:val="00D150F4"/>
    <w:rsid w:val="00D3474F"/>
    <w:rsid w:val="00D67CBE"/>
    <w:rsid w:val="00D7330C"/>
    <w:rsid w:val="00D83AB7"/>
    <w:rsid w:val="00D861C2"/>
    <w:rsid w:val="00DA6200"/>
    <w:rsid w:val="00DB0853"/>
    <w:rsid w:val="00DB3582"/>
    <w:rsid w:val="00DC10E1"/>
    <w:rsid w:val="00DC7F18"/>
    <w:rsid w:val="00DE3AA2"/>
    <w:rsid w:val="00E014C5"/>
    <w:rsid w:val="00E14205"/>
    <w:rsid w:val="00E1664F"/>
    <w:rsid w:val="00E16F90"/>
    <w:rsid w:val="00E27F3E"/>
    <w:rsid w:val="00E40F81"/>
    <w:rsid w:val="00E660AF"/>
    <w:rsid w:val="00E770BD"/>
    <w:rsid w:val="00EA5BB4"/>
    <w:rsid w:val="00EC2B53"/>
    <w:rsid w:val="00EC529A"/>
    <w:rsid w:val="00EC7E78"/>
    <w:rsid w:val="00ED0CD9"/>
    <w:rsid w:val="00ED5C88"/>
    <w:rsid w:val="00EF296D"/>
    <w:rsid w:val="00F22D5B"/>
    <w:rsid w:val="00F2380E"/>
    <w:rsid w:val="00F42E9E"/>
    <w:rsid w:val="00F43A6B"/>
    <w:rsid w:val="00F46BB8"/>
    <w:rsid w:val="00F51F96"/>
    <w:rsid w:val="00F574B4"/>
    <w:rsid w:val="00F67953"/>
    <w:rsid w:val="00F70B69"/>
    <w:rsid w:val="00F90A14"/>
    <w:rsid w:val="00FC05FD"/>
    <w:rsid w:val="00FC44F4"/>
    <w:rsid w:val="00FC5873"/>
    <w:rsid w:val="00FD29DD"/>
    <w:rsid w:val="00FD7F76"/>
    <w:rsid w:val="00FF2263"/>
    <w:rsid w:val="00FF2478"/>
    <w:rsid w:val="017E7109"/>
    <w:rsid w:val="01FB5C4F"/>
    <w:rsid w:val="05EB48F5"/>
    <w:rsid w:val="05EE6E49"/>
    <w:rsid w:val="08043FB5"/>
    <w:rsid w:val="08F47141"/>
    <w:rsid w:val="09C00AB2"/>
    <w:rsid w:val="0D082A6E"/>
    <w:rsid w:val="0D3E6A47"/>
    <w:rsid w:val="0D662A93"/>
    <w:rsid w:val="0DC342E3"/>
    <w:rsid w:val="12EB221A"/>
    <w:rsid w:val="136A133B"/>
    <w:rsid w:val="14455EB8"/>
    <w:rsid w:val="16C759ED"/>
    <w:rsid w:val="173F6931"/>
    <w:rsid w:val="17EA0FC8"/>
    <w:rsid w:val="1A435CA4"/>
    <w:rsid w:val="1ADF5B23"/>
    <w:rsid w:val="1D790CEA"/>
    <w:rsid w:val="1E20277C"/>
    <w:rsid w:val="1E422931"/>
    <w:rsid w:val="1EA700D7"/>
    <w:rsid w:val="23227588"/>
    <w:rsid w:val="2393671F"/>
    <w:rsid w:val="24940192"/>
    <w:rsid w:val="255E785B"/>
    <w:rsid w:val="26CD6B38"/>
    <w:rsid w:val="28410793"/>
    <w:rsid w:val="29145ACD"/>
    <w:rsid w:val="2A9C0A77"/>
    <w:rsid w:val="2B8973FB"/>
    <w:rsid w:val="2D7E65B1"/>
    <w:rsid w:val="2E3B21E8"/>
    <w:rsid w:val="2ED57E4C"/>
    <w:rsid w:val="2FF72EEF"/>
    <w:rsid w:val="310F5189"/>
    <w:rsid w:val="314D2A6F"/>
    <w:rsid w:val="3265353C"/>
    <w:rsid w:val="349302CD"/>
    <w:rsid w:val="349D0BDD"/>
    <w:rsid w:val="365B200B"/>
    <w:rsid w:val="36E13395"/>
    <w:rsid w:val="36F558B9"/>
    <w:rsid w:val="375A305F"/>
    <w:rsid w:val="37B77FE5"/>
    <w:rsid w:val="388C6C54"/>
    <w:rsid w:val="38EC32B3"/>
    <w:rsid w:val="396E1FE0"/>
    <w:rsid w:val="39C32023"/>
    <w:rsid w:val="3A0A70C5"/>
    <w:rsid w:val="3A4E0A72"/>
    <w:rsid w:val="3B514E5E"/>
    <w:rsid w:val="3B6A51BC"/>
    <w:rsid w:val="3DF022AF"/>
    <w:rsid w:val="3F104904"/>
    <w:rsid w:val="40C60753"/>
    <w:rsid w:val="40CE712E"/>
    <w:rsid w:val="41A0067B"/>
    <w:rsid w:val="41AE2C4F"/>
    <w:rsid w:val="41DD6684"/>
    <w:rsid w:val="425D6906"/>
    <w:rsid w:val="435D4F14"/>
    <w:rsid w:val="44DD6689"/>
    <w:rsid w:val="45C35682"/>
    <w:rsid w:val="46345127"/>
    <w:rsid w:val="47382C65"/>
    <w:rsid w:val="47E51E85"/>
    <w:rsid w:val="48F254BA"/>
    <w:rsid w:val="4A2410AF"/>
    <w:rsid w:val="4A8401CF"/>
    <w:rsid w:val="4F485E9E"/>
    <w:rsid w:val="520C4428"/>
    <w:rsid w:val="528043E7"/>
    <w:rsid w:val="52BB0D49"/>
    <w:rsid w:val="533C259B"/>
    <w:rsid w:val="53B27FDC"/>
    <w:rsid w:val="546B520C"/>
    <w:rsid w:val="54C76E9D"/>
    <w:rsid w:val="553771B9"/>
    <w:rsid w:val="55E46FF7"/>
    <w:rsid w:val="56623148"/>
    <w:rsid w:val="57EC527E"/>
    <w:rsid w:val="59373B6B"/>
    <w:rsid w:val="59433201"/>
    <w:rsid w:val="5C160720"/>
    <w:rsid w:val="5D8131F5"/>
    <w:rsid w:val="5E130566"/>
    <w:rsid w:val="60D45B6B"/>
    <w:rsid w:val="61E04DA4"/>
    <w:rsid w:val="650C1A58"/>
    <w:rsid w:val="68562439"/>
    <w:rsid w:val="69212E07"/>
    <w:rsid w:val="694A61CA"/>
    <w:rsid w:val="6F0A047A"/>
    <w:rsid w:val="6F4C29A7"/>
    <w:rsid w:val="72632F3A"/>
    <w:rsid w:val="74150381"/>
    <w:rsid w:val="74CD20AE"/>
    <w:rsid w:val="752B7ECA"/>
    <w:rsid w:val="75901DEC"/>
    <w:rsid w:val="75EE7C07"/>
    <w:rsid w:val="76983351"/>
    <w:rsid w:val="770B2189"/>
    <w:rsid w:val="78CA22C6"/>
    <w:rsid w:val="798D7D6C"/>
    <w:rsid w:val="7AA84E2A"/>
    <w:rsid w:val="7C166823"/>
    <w:rsid w:val="7CBF3D38"/>
    <w:rsid w:val="7D551ADF"/>
    <w:rsid w:val="7DEA1C21"/>
    <w:rsid w:val="7EA72F8D"/>
    <w:rsid w:val="7F16390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黑体"/>
      <w:kern w:val="2"/>
      <w:sz w:val="21"/>
      <w:szCs w:val="24"/>
      <w:lang w:val="en-US" w:eastAsia="zh-CN" w:bidi="ar-SA"/>
    </w:rPr>
  </w:style>
  <w:style w:type="paragraph" w:styleId="2">
    <w:name w:val="heading 1"/>
    <w:basedOn w:val="1"/>
    <w:next w:val="1"/>
    <w:link w:val="39"/>
    <w:qFormat/>
    <w:uiPriority w:val="0"/>
    <w:pPr>
      <w:jc w:val="left"/>
      <w:outlineLvl w:val="0"/>
    </w:pPr>
    <w:rPr>
      <w:rFonts w:hint="eastAsia" w:ascii="宋体" w:hAnsi="宋体" w:eastAsia="黑体" w:cs="Times New Roman"/>
      <w:b/>
      <w:kern w:val="44"/>
      <w:sz w:val="32"/>
      <w:szCs w:val="48"/>
    </w:rPr>
  </w:style>
  <w:style w:type="paragraph" w:styleId="3">
    <w:name w:val="heading 2"/>
    <w:basedOn w:val="1"/>
    <w:next w:val="1"/>
    <w:link w:val="40"/>
    <w:qFormat/>
    <w:uiPriority w:val="0"/>
    <w:pPr>
      <w:keepNext/>
      <w:keepLines/>
      <w:spacing w:line="560" w:lineRule="exact"/>
      <w:ind w:firstLine="420" w:firstLineChars="200"/>
      <w:outlineLvl w:val="1"/>
    </w:pPr>
    <w:rPr>
      <w:rFonts w:ascii="Cambria" w:hAnsi="Cambria" w:eastAsia="楷体_GB2312" w:cs="Times New Roman"/>
      <w:bCs/>
      <w:sz w:val="32"/>
      <w:szCs w:val="32"/>
    </w:rPr>
  </w:style>
  <w:style w:type="paragraph" w:styleId="4">
    <w:name w:val="heading 3"/>
    <w:basedOn w:val="1"/>
    <w:next w:val="1"/>
    <w:link w:val="35"/>
    <w:unhideWhenUsed/>
    <w:qFormat/>
    <w:uiPriority w:val="0"/>
    <w:pPr>
      <w:keepNext/>
      <w:keepLines/>
      <w:widowControl w:val="0"/>
      <w:spacing w:line="560" w:lineRule="exact"/>
      <w:ind w:firstLine="420" w:firstLineChars="200"/>
      <w:outlineLvl w:val="2"/>
    </w:pPr>
    <w:rPr>
      <w:rFonts w:eastAsia="仿宋_GB2312"/>
      <w:b/>
      <w:bCs/>
      <w:sz w:val="32"/>
      <w:szCs w:val="32"/>
    </w:rPr>
  </w:style>
  <w:style w:type="character" w:default="1" w:styleId="20">
    <w:name w:val="Default Paragraph Font"/>
    <w:unhideWhenUsed/>
    <w:uiPriority w:val="1"/>
  </w:style>
  <w:style w:type="table" w:default="1" w:styleId="23">
    <w:name w:val="Normal Table"/>
    <w:unhideWhenUsed/>
    <w:uiPriority w:val="99"/>
    <w:tblPr>
      <w:tblStyle w:val="23"/>
      <w:tblLayout w:type="fixed"/>
      <w:tblCellMar>
        <w:top w:w="0" w:type="dxa"/>
        <w:left w:w="108" w:type="dxa"/>
        <w:bottom w:w="0" w:type="dxa"/>
        <w:right w:w="108" w:type="dxa"/>
      </w:tblCellMar>
    </w:tblPr>
    <w:tcPr>
      <w:textDirection w:val="lrTb"/>
    </w:tcPr>
  </w:style>
  <w:style w:type="paragraph" w:styleId="5">
    <w:name w:val="toc 7"/>
    <w:basedOn w:val="1"/>
    <w:next w:val="1"/>
    <w:unhideWhenUsed/>
    <w:qFormat/>
    <w:uiPriority w:val="39"/>
    <w:pPr>
      <w:ind w:left="2520" w:leftChars="1200"/>
    </w:pPr>
    <w:rPr>
      <w:sz w:val="28"/>
    </w:rPr>
  </w:style>
  <w:style w:type="paragraph" w:styleId="6">
    <w:name w:val="annotation text"/>
    <w:basedOn w:val="1"/>
    <w:link w:val="37"/>
    <w:qFormat/>
    <w:uiPriority w:val="0"/>
    <w:pPr>
      <w:jc w:val="left"/>
    </w:pPr>
  </w:style>
  <w:style w:type="paragraph" w:styleId="7">
    <w:name w:val="toc 5"/>
    <w:basedOn w:val="1"/>
    <w:next w:val="1"/>
    <w:unhideWhenUsed/>
    <w:qFormat/>
    <w:uiPriority w:val="39"/>
    <w:pPr>
      <w:ind w:left="1680" w:leftChars="800"/>
    </w:pPr>
    <w:rPr>
      <w:sz w:val="28"/>
    </w:rPr>
  </w:style>
  <w:style w:type="paragraph" w:styleId="8">
    <w:name w:val="toc 3"/>
    <w:basedOn w:val="1"/>
    <w:next w:val="1"/>
    <w:qFormat/>
    <w:uiPriority w:val="39"/>
    <w:pPr>
      <w:ind w:left="840" w:leftChars="400"/>
    </w:pPr>
    <w:rPr>
      <w:sz w:val="28"/>
    </w:rPr>
  </w:style>
  <w:style w:type="paragraph" w:styleId="9">
    <w:name w:val="toc 8"/>
    <w:basedOn w:val="1"/>
    <w:next w:val="1"/>
    <w:unhideWhenUsed/>
    <w:qFormat/>
    <w:uiPriority w:val="39"/>
    <w:pPr>
      <w:ind w:left="2940" w:leftChars="1400"/>
    </w:pPr>
    <w:rPr>
      <w:sz w:val="28"/>
    </w:rPr>
  </w:style>
  <w:style w:type="paragraph" w:styleId="10">
    <w:name w:val="Balloon Text"/>
    <w:basedOn w:val="1"/>
    <w:link w:val="36"/>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rPr>
      <w:sz w:val="28"/>
    </w:rPr>
  </w:style>
  <w:style w:type="paragraph" w:styleId="14">
    <w:name w:val="toc 4"/>
    <w:basedOn w:val="1"/>
    <w:next w:val="1"/>
    <w:unhideWhenUsed/>
    <w:qFormat/>
    <w:uiPriority w:val="39"/>
    <w:pPr>
      <w:ind w:left="1260" w:leftChars="600"/>
    </w:pPr>
    <w:rPr>
      <w:sz w:val="28"/>
    </w:rPr>
  </w:style>
  <w:style w:type="paragraph" w:styleId="15">
    <w:name w:val="footnote text"/>
    <w:basedOn w:val="1"/>
    <w:qFormat/>
    <w:uiPriority w:val="0"/>
    <w:pPr>
      <w:snapToGrid w:val="0"/>
      <w:jc w:val="left"/>
    </w:pPr>
  </w:style>
  <w:style w:type="paragraph" w:styleId="16">
    <w:name w:val="toc 6"/>
    <w:basedOn w:val="1"/>
    <w:next w:val="1"/>
    <w:unhideWhenUsed/>
    <w:qFormat/>
    <w:uiPriority w:val="39"/>
    <w:pPr>
      <w:ind w:left="2100" w:leftChars="1000"/>
    </w:pPr>
    <w:rPr>
      <w:sz w:val="28"/>
    </w:rPr>
  </w:style>
  <w:style w:type="paragraph" w:styleId="17">
    <w:name w:val="toc 2"/>
    <w:basedOn w:val="1"/>
    <w:next w:val="1"/>
    <w:unhideWhenUsed/>
    <w:qFormat/>
    <w:uiPriority w:val="39"/>
    <w:pPr>
      <w:ind w:left="420" w:leftChars="200"/>
    </w:pPr>
    <w:rPr>
      <w:sz w:val="28"/>
    </w:rPr>
  </w:style>
  <w:style w:type="paragraph" w:styleId="18">
    <w:name w:val="toc 9"/>
    <w:basedOn w:val="1"/>
    <w:next w:val="1"/>
    <w:unhideWhenUsed/>
    <w:qFormat/>
    <w:uiPriority w:val="39"/>
    <w:pPr>
      <w:ind w:left="3360" w:leftChars="1600"/>
    </w:pPr>
    <w:rPr>
      <w:sz w:val="28"/>
    </w:rPr>
  </w:style>
  <w:style w:type="paragraph" w:styleId="19">
    <w:name w:val="Normal (Web)"/>
    <w:basedOn w:val="1"/>
    <w:qFormat/>
    <w:uiPriority w:val="0"/>
    <w:pPr>
      <w:spacing w:beforeAutospacing="1" w:afterAutospacing="1"/>
      <w:jc w:val="left"/>
    </w:pPr>
    <w:rPr>
      <w:rFonts w:cs="Times New Roman"/>
      <w:kern w:val="0"/>
      <w:sz w:val="24"/>
    </w:rPr>
  </w:style>
  <w:style w:type="character" w:styleId="21">
    <w:name w:val="Hyperlink"/>
    <w:basedOn w:val="20"/>
    <w:unhideWhenUsed/>
    <w:qFormat/>
    <w:uiPriority w:val="99"/>
    <w:rPr>
      <w:color w:val="0563C1"/>
      <w:u w:val="single"/>
    </w:rPr>
  </w:style>
  <w:style w:type="character" w:styleId="22">
    <w:name w:val="annotation reference"/>
    <w:basedOn w:val="20"/>
    <w:uiPriority w:val="0"/>
    <w:rPr>
      <w:sz w:val="21"/>
      <w:szCs w:val="21"/>
    </w:rPr>
  </w:style>
  <w:style w:type="table" w:styleId="24">
    <w:name w:val="Table Grid"/>
    <w:basedOn w:val="23"/>
    <w:qFormat/>
    <w:uiPriority w:val="0"/>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5">
    <w:name w:val="BodyText1I2"/>
    <w:basedOn w:val="26"/>
    <w:qFormat/>
    <w:uiPriority w:val="0"/>
    <w:pPr>
      <w:ind w:firstLine="420" w:firstLineChars="200"/>
    </w:pPr>
  </w:style>
  <w:style w:type="paragraph" w:customStyle="1" w:styleId="26">
    <w:name w:val="BodyTextIndent"/>
    <w:basedOn w:val="1"/>
    <w:qFormat/>
    <w:uiPriority w:val="0"/>
    <w:pPr>
      <w:spacing w:after="120"/>
      <w:ind w:left="420" w:leftChars="200"/>
    </w:pPr>
  </w:style>
  <w:style w:type="paragraph" w:customStyle="1" w:styleId="27">
    <w:name w:val="UserStyle_5"/>
    <w:qFormat/>
    <w:uiPriority w:val="0"/>
    <w:pPr>
      <w:jc w:val="both"/>
      <w:textAlignment w:val="baseline"/>
    </w:pPr>
    <w:rPr>
      <w:rFonts w:ascii="Times New Roman" w:hAnsi="Times New Roman" w:eastAsia="宋体" w:cs="黑体"/>
      <w:kern w:val="2"/>
      <w:sz w:val="21"/>
      <w:szCs w:val="22"/>
      <w:lang w:val="en-US" w:eastAsia="zh-CN" w:bidi="ar-SA"/>
    </w:rPr>
  </w:style>
  <w:style w:type="paragraph" w:customStyle="1" w:styleId="28">
    <w:name w:val="正常1"/>
    <w:link w:val="4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9">
    <w:name w:val="UserStyle_3"/>
    <w:qFormat/>
    <w:uiPriority w:val="0"/>
    <w:pPr>
      <w:jc w:val="both"/>
      <w:textAlignment w:val="baseline"/>
    </w:pPr>
    <w:rPr>
      <w:rFonts w:ascii="Times New Roman" w:hAnsi="Times New Roman" w:eastAsia="宋体" w:cs="黑体"/>
      <w:kern w:val="2"/>
      <w:sz w:val="21"/>
      <w:lang w:val="en-US" w:eastAsia="zh-CN" w:bidi="ar-SA"/>
    </w:rPr>
  </w:style>
  <w:style w:type="paragraph" w:customStyle="1" w:styleId="30">
    <w:name w:val="UserStyle_0"/>
    <w:basedOn w:val="1"/>
    <w:qFormat/>
    <w:uiPriority w:val="0"/>
    <w:pPr>
      <w:spacing w:after="120"/>
      <w:ind w:left="420" w:leftChars="200"/>
    </w:pPr>
  </w:style>
  <w:style w:type="paragraph" w:customStyle="1" w:styleId="31">
    <w:name w:val="UserStyle_4"/>
    <w:basedOn w:val="27"/>
    <w:link w:val="38"/>
    <w:qFormat/>
    <w:uiPriority w:val="0"/>
    <w:pPr>
      <w:spacing w:after="160" w:line="240" w:lineRule="exact"/>
      <w:jc w:val="left"/>
    </w:pPr>
  </w:style>
  <w:style w:type="paragraph" w:customStyle="1" w:styleId="32">
    <w:name w:val="列表段落1"/>
    <w:basedOn w:val="1"/>
    <w:qFormat/>
    <w:uiPriority w:val="34"/>
    <w:pPr>
      <w:ind w:firstLine="420" w:firstLineChars="200"/>
    </w:pPr>
  </w:style>
  <w:style w:type="paragraph" w:customStyle="1" w:styleId="33">
    <w:name w:val="标题3样式"/>
    <w:basedOn w:val="4"/>
    <w:uiPriority w:val="0"/>
  </w:style>
  <w:style w:type="character" w:customStyle="1" w:styleId="34">
    <w:name w:val="样式2"/>
    <w:basedOn w:val="20"/>
    <w:uiPriority w:val="0"/>
    <w:rPr>
      <w:rFonts w:ascii="Times New Roman" w:hAnsi="Times New Roman" w:eastAsia="仿宋_GB2312"/>
      <w:b/>
    </w:rPr>
  </w:style>
  <w:style w:type="character" w:customStyle="1" w:styleId="35">
    <w:name w:val="标题 3 字符"/>
    <w:basedOn w:val="20"/>
    <w:link w:val="4"/>
    <w:qFormat/>
    <w:uiPriority w:val="0"/>
    <w:rPr>
      <w:rFonts w:eastAsia="仿宋_GB2312"/>
      <w:b/>
      <w:bCs/>
      <w:sz w:val="32"/>
      <w:szCs w:val="32"/>
    </w:rPr>
  </w:style>
  <w:style w:type="character" w:customStyle="1" w:styleId="36">
    <w:name w:val="批注框文本 字符"/>
    <w:basedOn w:val="20"/>
    <w:link w:val="10"/>
    <w:qFormat/>
    <w:uiPriority w:val="0"/>
    <w:rPr>
      <w:rFonts w:ascii="Calibri" w:hAnsi="Calibri" w:cs="黑体"/>
      <w:kern w:val="2"/>
      <w:sz w:val="18"/>
      <w:szCs w:val="18"/>
    </w:rPr>
  </w:style>
  <w:style w:type="character" w:customStyle="1" w:styleId="37">
    <w:name w:val="批注文字 字符"/>
    <w:basedOn w:val="20"/>
    <w:link w:val="6"/>
    <w:qFormat/>
    <w:uiPriority w:val="0"/>
    <w:rPr>
      <w:rFonts w:ascii="Calibri" w:hAnsi="Calibri" w:cs="黑体"/>
      <w:kern w:val="2"/>
      <w:sz w:val="21"/>
      <w:szCs w:val="24"/>
    </w:rPr>
  </w:style>
  <w:style w:type="character" w:customStyle="1" w:styleId="38">
    <w:name w:val="NormalCharacter"/>
    <w:link w:val="31"/>
    <w:semiHidden/>
    <w:qFormat/>
    <w:uiPriority w:val="0"/>
  </w:style>
  <w:style w:type="character" w:customStyle="1" w:styleId="39">
    <w:name w:val="标题 1 字符"/>
    <w:link w:val="2"/>
    <w:uiPriority w:val="0"/>
    <w:rPr>
      <w:rFonts w:hint="eastAsia" w:ascii="宋体" w:hAnsi="宋体" w:eastAsia="黑体" w:cs="Times New Roman"/>
      <w:b/>
      <w:kern w:val="44"/>
      <w:sz w:val="32"/>
      <w:szCs w:val="48"/>
    </w:rPr>
  </w:style>
  <w:style w:type="character" w:customStyle="1" w:styleId="40">
    <w:name w:val="标题 2 字符"/>
    <w:link w:val="3"/>
    <w:uiPriority w:val="0"/>
    <w:rPr>
      <w:rFonts w:ascii="Cambria" w:hAnsi="Cambria" w:eastAsia="楷体_GB2312" w:cs="Times New Roman"/>
      <w:bCs/>
      <w:sz w:val="32"/>
      <w:szCs w:val="32"/>
    </w:rPr>
  </w:style>
  <w:style w:type="character" w:customStyle="1" w:styleId="41">
    <w:name w:val="正常1 Char"/>
    <w:link w:val="28"/>
    <w:uiPriority w:val="0"/>
    <w:rPr>
      <w:rFonts w:hint="eastAsia" w:ascii="Times New Roman" w:hAnsi="Times New Roman" w:eastAsia="宋体" w:cs="Times New Roman"/>
      <w:kern w:val="2"/>
      <w:sz w:val="21"/>
      <w:lang w:val="en-US" w:eastAsia="zh-CN" w:bidi="ar-SA"/>
    </w:rPr>
  </w:style>
  <w:style w:type="character" w:customStyle="1" w:styleId="42">
    <w:name w:val="样式1"/>
    <w:basedOn w:val="20"/>
    <w:uiPriority w:val="0"/>
    <w:rPr>
      <w:rFonts w:ascii="Times New Roman" w:hAnsi="Times New Roman" w:eastAsia="仿宋_GB2312"/>
      <w:b/>
    </w:rPr>
  </w:style>
  <w:style w:type="character" w:customStyle="1" w:styleId="43">
    <w:name w:val="Unresolved Mention"/>
    <w:basedOn w:val="20"/>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comments" Target="commen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64</Pages>
  <Words>6438</Words>
  <Characters>36699</Characters>
  <Lines>305</Lines>
  <Paragraphs>86</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2021-05-14T07:02:00Z</dcterms:created>
  <dc:creator>vivi</dc:creator>
  <cp:lastModifiedBy>admin</cp:lastModifiedBy>
  <cp:lastPrinted>2021-05-08T09:03:00Z</cp:lastPrinted>
  <dcterms:modified xsi:type="dcterms:W3CDTF">2021-05-18T08:57:48Z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