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ascii="方正小标宋简体" w:hAnsi="黑体" w:eastAsia="方正小标宋简体" w:cs="楷体_GB2312"/>
          <w:bCs/>
          <w:sz w:val="44"/>
          <w:szCs w:val="44"/>
        </w:rPr>
      </w:pPr>
    </w:p>
    <w:p>
      <w:pPr>
        <w:spacing w:line="600" w:lineRule="exact"/>
        <w:jc w:val="center"/>
        <w:rPr>
          <w:rFonts w:ascii="方正小标宋简体" w:hAnsi="黑体" w:eastAsia="方正小标宋简体" w:cs="楷体_GB2312"/>
          <w:bCs/>
          <w:sz w:val="44"/>
          <w:szCs w:val="44"/>
        </w:rPr>
      </w:pPr>
    </w:p>
    <w:p>
      <w:pPr>
        <w:spacing w:line="600" w:lineRule="exact"/>
        <w:rPr>
          <w:rFonts w:ascii="方正小标宋简体" w:hAnsi="黑体" w:eastAsia="方正小标宋简体" w:cs="楷体_GB2312"/>
          <w:bCs/>
          <w:sz w:val="44"/>
          <w:szCs w:val="44"/>
        </w:rPr>
      </w:pPr>
    </w:p>
    <w:p>
      <w:pPr>
        <w:spacing w:line="600" w:lineRule="exact"/>
        <w:jc w:val="center"/>
        <w:rPr>
          <w:rFonts w:ascii="方正小标宋简体" w:hAnsi="黑体" w:eastAsia="方正小标宋简体" w:cs="楷体_GB2312"/>
          <w:bCs/>
          <w:sz w:val="44"/>
          <w:szCs w:val="44"/>
        </w:rPr>
      </w:pPr>
    </w:p>
    <w:p>
      <w:pPr>
        <w:spacing w:line="600" w:lineRule="exact"/>
        <w:ind w:leftChars="-67" w:right="-57" w:rightChars="-27" w:hanging="141" w:hangingChars="32"/>
        <w:jc w:val="center"/>
        <w:rPr>
          <w:rFonts w:ascii="方正小标宋简体" w:hAnsi="黑体" w:eastAsia="方正小标宋简体" w:cs="楷体_GB2312"/>
          <w:bCs/>
          <w:sz w:val="44"/>
          <w:szCs w:val="44"/>
        </w:rPr>
      </w:pPr>
      <w:r>
        <w:rPr>
          <w:rFonts w:hint="eastAsia" w:ascii="方正小标宋简体" w:hAnsi="黑体" w:eastAsia="方正小标宋简体" w:cs="楷体_GB2312"/>
          <w:bCs/>
          <w:sz w:val="44"/>
          <w:szCs w:val="44"/>
        </w:rPr>
        <w:t>清远市知识产权事业发展“十四五”规划</w:t>
      </w:r>
    </w:p>
    <w:p>
      <w:pPr>
        <w:spacing w:line="600" w:lineRule="exact"/>
        <w:ind w:left="-39" w:leftChars="-67" w:right="-57" w:rightChars="-27" w:hanging="102" w:hangingChars="32"/>
        <w:jc w:val="center"/>
        <w:rPr>
          <w:rFonts w:ascii="仿宋_GB2312" w:eastAsia="仿宋_GB2312" w:cs="宋体"/>
          <w:sz w:val="32"/>
          <w:szCs w:val="32"/>
        </w:rPr>
      </w:pPr>
      <w:r>
        <w:rPr>
          <w:rFonts w:hint="eastAsia" w:ascii="仿宋_GB2312" w:eastAsia="仿宋_GB2312" w:cs="宋体"/>
          <w:sz w:val="32"/>
          <w:szCs w:val="32"/>
        </w:rPr>
        <w:t>（</w:t>
      </w:r>
      <w:bookmarkStart w:id="35" w:name="_GoBack"/>
      <w:bookmarkEnd w:id="35"/>
      <w:r>
        <w:rPr>
          <w:rFonts w:hint="eastAsia" w:ascii="仿宋_GB2312" w:eastAsia="仿宋_GB2312" w:cs="宋体"/>
          <w:sz w:val="32"/>
          <w:szCs w:val="32"/>
        </w:rPr>
        <w:t>征求意见稿）</w:t>
      </w:r>
    </w:p>
    <w:p>
      <w:pPr>
        <w:spacing w:line="600" w:lineRule="exact"/>
        <w:jc w:val="center"/>
        <w:rPr>
          <w:rFonts w:ascii="仿宋_GB2312" w:eastAsia="仿宋_GB2312" w:cs="宋体"/>
          <w:sz w:val="32"/>
          <w:szCs w:val="32"/>
        </w:rPr>
      </w:pPr>
    </w:p>
    <w:p>
      <w:pPr>
        <w:spacing w:line="600" w:lineRule="exact"/>
        <w:jc w:val="center"/>
        <w:rPr>
          <w:rFonts w:ascii="仿宋_GB2312" w:eastAsia="仿宋_GB2312" w:cs="宋体"/>
          <w:sz w:val="32"/>
          <w:szCs w:val="32"/>
        </w:rPr>
      </w:pPr>
    </w:p>
    <w:p>
      <w:pPr>
        <w:spacing w:line="600" w:lineRule="exact"/>
        <w:jc w:val="center"/>
        <w:rPr>
          <w:rFonts w:ascii="仿宋_GB2312" w:eastAsia="仿宋_GB2312" w:cs="宋体"/>
          <w:sz w:val="32"/>
          <w:szCs w:val="32"/>
        </w:rPr>
      </w:pPr>
    </w:p>
    <w:p>
      <w:pPr>
        <w:spacing w:line="600" w:lineRule="exact"/>
        <w:jc w:val="center"/>
        <w:rPr>
          <w:rFonts w:ascii="仿宋_GB2312" w:eastAsia="仿宋_GB2312" w:cs="宋体"/>
          <w:sz w:val="32"/>
          <w:szCs w:val="32"/>
        </w:rPr>
      </w:pPr>
    </w:p>
    <w:p>
      <w:pPr>
        <w:spacing w:line="600" w:lineRule="exact"/>
        <w:jc w:val="center"/>
        <w:rPr>
          <w:rFonts w:ascii="仿宋_GB2312" w:eastAsia="仿宋_GB2312" w:cs="宋体"/>
          <w:sz w:val="32"/>
          <w:szCs w:val="32"/>
        </w:rPr>
      </w:pPr>
    </w:p>
    <w:p>
      <w:pPr>
        <w:spacing w:line="600" w:lineRule="exact"/>
        <w:jc w:val="center"/>
        <w:rPr>
          <w:rFonts w:ascii="仿宋_GB2312" w:eastAsia="仿宋_GB2312" w:cs="宋体"/>
          <w:sz w:val="32"/>
          <w:szCs w:val="32"/>
        </w:rPr>
      </w:pPr>
    </w:p>
    <w:p>
      <w:pPr>
        <w:pStyle w:val="2"/>
        <w:rPr>
          <w:rFonts w:ascii="仿宋_GB2312" w:eastAsia="仿宋_GB2312" w:cs="宋体"/>
          <w:sz w:val="32"/>
          <w:szCs w:val="32"/>
        </w:rPr>
      </w:pPr>
    </w:p>
    <w:p>
      <w:pPr>
        <w:rPr>
          <w:rFonts w:ascii="仿宋_GB2312" w:eastAsia="仿宋_GB2312" w:cs="宋体"/>
          <w:sz w:val="32"/>
          <w:szCs w:val="32"/>
        </w:rPr>
      </w:pPr>
    </w:p>
    <w:p>
      <w:pPr>
        <w:pStyle w:val="2"/>
        <w:rPr>
          <w:rFonts w:ascii="仿宋_GB2312" w:eastAsia="仿宋_GB2312" w:cs="宋体"/>
          <w:sz w:val="32"/>
          <w:szCs w:val="32"/>
        </w:rPr>
      </w:pPr>
    </w:p>
    <w:p>
      <w:pPr>
        <w:rPr>
          <w:rFonts w:ascii="仿宋_GB2312" w:eastAsia="仿宋_GB2312" w:cs="宋体"/>
          <w:sz w:val="32"/>
          <w:szCs w:val="32"/>
        </w:rPr>
      </w:pPr>
    </w:p>
    <w:p>
      <w:pPr>
        <w:pStyle w:val="2"/>
      </w:pPr>
    </w:p>
    <w:p>
      <w:pPr>
        <w:spacing w:line="600" w:lineRule="exact"/>
        <w:jc w:val="center"/>
        <w:rPr>
          <w:rFonts w:ascii="仿宋_GB2312" w:eastAsia="仿宋_GB2312" w:cs="宋体"/>
          <w:sz w:val="32"/>
          <w:szCs w:val="32"/>
        </w:rPr>
      </w:pPr>
    </w:p>
    <w:p>
      <w:pPr>
        <w:spacing w:line="600" w:lineRule="exact"/>
        <w:rPr>
          <w:rFonts w:ascii="仿宋_GB2312" w:eastAsia="仿宋_GB2312" w:cs="宋体"/>
          <w:sz w:val="32"/>
          <w:szCs w:val="32"/>
        </w:rPr>
      </w:pPr>
    </w:p>
    <w:p>
      <w:pPr>
        <w:spacing w:line="600" w:lineRule="exact"/>
        <w:jc w:val="center"/>
        <w:rPr>
          <w:rFonts w:ascii="仿宋_GB2312" w:eastAsia="仿宋_GB2312" w:cs="宋体"/>
          <w:sz w:val="32"/>
          <w:szCs w:val="32"/>
        </w:rPr>
      </w:pPr>
    </w:p>
    <w:p>
      <w:pPr>
        <w:autoSpaceDE w:val="0"/>
        <w:autoSpaceDN w:val="0"/>
        <w:adjustRightInd w:val="0"/>
        <w:spacing w:line="600" w:lineRule="exact"/>
        <w:jc w:val="center"/>
        <w:rPr>
          <w:rFonts w:ascii="黑体" w:hAnsi="黑体" w:eastAsia="黑体" w:cs="Times New Roman"/>
          <w:kern w:val="0"/>
          <w:sz w:val="32"/>
          <w:szCs w:val="32"/>
        </w:rPr>
      </w:pPr>
      <w:r>
        <w:rPr>
          <w:rFonts w:hint="eastAsia" w:ascii="黑体" w:hAnsi="黑体" w:eastAsia="黑体"/>
          <w:kern w:val="0"/>
          <w:sz w:val="32"/>
          <w:szCs w:val="32"/>
        </w:rPr>
        <w:t>清远市市场监督管理局（知识产权局）</w:t>
      </w:r>
    </w:p>
    <w:p>
      <w:pPr>
        <w:spacing w:line="600" w:lineRule="exact"/>
        <w:jc w:val="center"/>
        <w:rPr>
          <w:rFonts w:ascii="Times New Roman" w:hAnsi="Times New Roman" w:eastAsia="黑体"/>
          <w:kern w:val="0"/>
          <w:sz w:val="32"/>
          <w:szCs w:val="32"/>
        </w:rPr>
      </w:pPr>
      <w:r>
        <w:rPr>
          <w:rFonts w:ascii="Times New Roman" w:hAnsi="Times New Roman" w:eastAsia="黑体" w:cs="Times New Roman"/>
          <w:kern w:val="0"/>
          <w:sz w:val="32"/>
          <w:szCs w:val="32"/>
        </w:rPr>
        <w:t>2021</w:t>
      </w:r>
      <w:r>
        <w:rPr>
          <w:rFonts w:hint="eastAsia" w:ascii="Times New Roman" w:hAnsi="Times New Roman" w:eastAsia="黑体"/>
          <w:kern w:val="0"/>
          <w:sz w:val="32"/>
          <w:szCs w:val="32"/>
        </w:rPr>
        <w:t>年</w:t>
      </w:r>
      <w:r>
        <w:rPr>
          <w:rFonts w:hint="eastAsia" w:ascii="Times New Roman" w:hAnsi="Times New Roman" w:eastAsia="黑体"/>
          <w:kern w:val="0"/>
          <w:sz w:val="32"/>
          <w:szCs w:val="32"/>
          <w:lang w:val="en-US" w:eastAsia="zh-CN"/>
        </w:rPr>
        <w:t>8</w:t>
      </w:r>
      <w:r>
        <w:rPr>
          <w:rFonts w:hint="eastAsia" w:ascii="Times New Roman" w:hAnsi="Times New Roman" w:eastAsia="黑体"/>
          <w:kern w:val="0"/>
          <w:sz w:val="32"/>
          <w:szCs w:val="32"/>
        </w:rPr>
        <w:t>月</w:t>
      </w:r>
    </w:p>
    <w:p>
      <w:pPr>
        <w:pStyle w:val="2"/>
        <w:rPr>
          <w:rFonts w:ascii="Times New Roman" w:hAnsi="Times New Roman" w:eastAsia="黑体"/>
          <w:kern w:val="0"/>
          <w:sz w:val="32"/>
          <w:szCs w:val="32"/>
        </w:rPr>
      </w:pPr>
    </w:p>
    <w:p/>
    <w:p>
      <w:pPr>
        <w:pStyle w:val="29"/>
        <w:snapToGrid w:val="0"/>
        <w:spacing w:before="156" w:beforeLines="50" w:after="156" w:afterLines="50" w:line="600" w:lineRule="exact"/>
        <w:jc w:val="center"/>
        <w:rPr>
          <w:b/>
          <w:color w:val="000000"/>
        </w:rPr>
      </w:pPr>
      <w:r>
        <w:rPr>
          <w:b/>
          <w:color w:val="000000"/>
          <w:lang w:val="zh-CN"/>
        </w:rPr>
        <w:t>目</w:t>
      </w:r>
      <w:r>
        <w:rPr>
          <w:rFonts w:hint="eastAsia"/>
          <w:b/>
          <w:color w:val="000000"/>
          <w:lang w:val="zh-CN"/>
        </w:rPr>
        <w:t xml:space="preserve"> </w:t>
      </w:r>
      <w:r>
        <w:rPr>
          <w:b/>
          <w:color w:val="000000"/>
          <w:lang w:val="zh-CN"/>
        </w:rPr>
        <w:t>录</w:t>
      </w:r>
    </w:p>
    <w:p>
      <w:pPr>
        <w:pStyle w:val="16"/>
        <w:tabs>
          <w:tab w:val="right" w:leader="dot" w:pos="8296"/>
        </w:tabs>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TOC \o "1-3" \h \z \u </w:instrText>
      </w:r>
      <w:r>
        <w:rPr>
          <w:rFonts w:ascii="Times New Roman" w:hAnsi="Times New Roman" w:cs="Times New Roman"/>
          <w:sz w:val="32"/>
          <w:szCs w:val="32"/>
        </w:rPr>
        <w:fldChar w:fldCharType="separate"/>
      </w:r>
      <w:r>
        <w:fldChar w:fldCharType="begin"/>
      </w:r>
      <w:r>
        <w:instrText xml:space="preserve"> HYPERLINK \l "_Toc76458225" </w:instrText>
      </w:r>
      <w:r>
        <w:fldChar w:fldCharType="separate"/>
      </w:r>
      <w:r>
        <w:rPr>
          <w:rStyle w:val="23"/>
          <w:rFonts w:hint="eastAsia" w:ascii="Times New Roman" w:hAnsi="Times New Roman" w:eastAsia="黑体" w:cs="Times New Roman"/>
          <w:kern w:val="0"/>
          <w:sz w:val="32"/>
          <w:szCs w:val="32"/>
        </w:rPr>
        <w:t>导言</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_Toc76458225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6"/>
        <w:tabs>
          <w:tab w:val="right" w:leader="dot" w:pos="8296"/>
        </w:tabs>
        <w:rPr>
          <w:rFonts w:ascii="Times New Roman" w:hAnsi="Times New Roman" w:cs="Times New Roman"/>
          <w:sz w:val="32"/>
          <w:szCs w:val="32"/>
        </w:rPr>
      </w:pPr>
      <w:r>
        <w:fldChar w:fldCharType="begin"/>
      </w:r>
      <w:r>
        <w:instrText xml:space="preserve"> HYPERLINK \l "_Toc76458226" </w:instrText>
      </w:r>
      <w:r>
        <w:fldChar w:fldCharType="separate"/>
      </w:r>
      <w:r>
        <w:rPr>
          <w:rStyle w:val="23"/>
          <w:rFonts w:hint="eastAsia" w:ascii="Times New Roman" w:hAnsi="Times New Roman" w:eastAsia="黑体" w:cs="Times New Roman"/>
          <w:kern w:val="0"/>
          <w:sz w:val="32"/>
          <w:szCs w:val="32"/>
        </w:rPr>
        <w:t>一、发展基础与形势</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_Toc76458226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
        <w:ind w:firstLine="993" w:firstLineChars="473"/>
        <w:rPr>
          <w:rFonts w:ascii="Times New Roman" w:hAnsi="Times New Roman" w:eastAsia="宋体" w:cs="Times New Roman"/>
          <w:sz w:val="32"/>
          <w:szCs w:val="32"/>
        </w:rPr>
      </w:pPr>
      <w:r>
        <w:fldChar w:fldCharType="begin"/>
      </w:r>
      <w:r>
        <w:instrText xml:space="preserve"> HYPERLINK \l "_Toc76458227" </w:instrText>
      </w:r>
      <w:r>
        <w:fldChar w:fldCharType="separate"/>
      </w:r>
      <w:r>
        <w:rPr>
          <w:rStyle w:val="23"/>
          <w:rFonts w:hint="eastAsia" w:ascii="Times New Roman" w:hAnsi="Times New Roman" w:cs="Times New Roman"/>
          <w:bCs/>
          <w:sz w:val="32"/>
          <w:szCs w:val="32"/>
        </w:rPr>
        <w:t>（一）发展基础</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_Toc76458227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
        <w:ind w:firstLine="993" w:firstLineChars="473"/>
        <w:rPr>
          <w:rFonts w:ascii="Times New Roman" w:hAnsi="Times New Roman" w:eastAsia="宋体" w:cs="Times New Roman"/>
          <w:sz w:val="32"/>
          <w:szCs w:val="32"/>
        </w:rPr>
      </w:pPr>
      <w:r>
        <w:fldChar w:fldCharType="begin"/>
      </w:r>
      <w:r>
        <w:instrText xml:space="preserve"> HYPERLINK \l "_Toc76458228" </w:instrText>
      </w:r>
      <w:r>
        <w:fldChar w:fldCharType="separate"/>
      </w:r>
      <w:r>
        <w:rPr>
          <w:rStyle w:val="23"/>
          <w:rFonts w:hint="eastAsia" w:ascii="Times New Roman" w:hAnsi="Times New Roman" w:cs="Times New Roman"/>
          <w:bCs/>
          <w:sz w:val="32"/>
          <w:szCs w:val="32"/>
        </w:rPr>
        <w:t>（二）存在问题</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_Toc76458228 \h </w:instrText>
      </w:r>
      <w:r>
        <w:rPr>
          <w:rFonts w:ascii="Times New Roman" w:hAnsi="Times New Roman" w:cs="Times New Roman"/>
          <w:sz w:val="32"/>
          <w:szCs w:val="32"/>
        </w:rPr>
        <w:fldChar w:fldCharType="separate"/>
      </w:r>
      <w:r>
        <w:rPr>
          <w:rFonts w:ascii="Times New Roman" w:hAnsi="Times New Roman" w:cs="Times New Roman"/>
          <w:sz w:val="32"/>
          <w:szCs w:val="32"/>
        </w:rPr>
        <w:t>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
        <w:ind w:firstLine="993" w:firstLineChars="473"/>
        <w:rPr>
          <w:rFonts w:ascii="Times New Roman" w:hAnsi="Times New Roman" w:eastAsia="宋体" w:cs="Times New Roman"/>
          <w:sz w:val="32"/>
          <w:szCs w:val="32"/>
        </w:rPr>
      </w:pPr>
      <w:r>
        <w:fldChar w:fldCharType="begin"/>
      </w:r>
      <w:r>
        <w:instrText xml:space="preserve"> HYPERLINK \l "_Toc76458229" </w:instrText>
      </w:r>
      <w:r>
        <w:fldChar w:fldCharType="separate"/>
      </w:r>
      <w:r>
        <w:rPr>
          <w:rStyle w:val="23"/>
          <w:rFonts w:hint="eastAsia" w:ascii="Times New Roman" w:hAnsi="Times New Roman" w:cs="Times New Roman"/>
          <w:bCs/>
          <w:sz w:val="32"/>
          <w:szCs w:val="32"/>
        </w:rPr>
        <w:t>（三）面临形势</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_Toc76458229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6"/>
        <w:tabs>
          <w:tab w:val="right" w:leader="dot" w:pos="8296"/>
        </w:tabs>
        <w:rPr>
          <w:rFonts w:ascii="Times New Roman" w:hAnsi="Times New Roman" w:cs="Times New Roman"/>
          <w:sz w:val="32"/>
          <w:szCs w:val="32"/>
        </w:rPr>
      </w:pPr>
      <w:r>
        <w:fldChar w:fldCharType="begin"/>
      </w:r>
      <w:r>
        <w:instrText xml:space="preserve"> HYPERLINK \l "_Toc76458230" </w:instrText>
      </w:r>
      <w:r>
        <w:fldChar w:fldCharType="separate"/>
      </w:r>
      <w:r>
        <w:rPr>
          <w:rStyle w:val="23"/>
          <w:rFonts w:hint="eastAsia" w:ascii="Times New Roman" w:hAnsi="Times New Roman" w:eastAsia="黑体" w:cs="Times New Roman"/>
          <w:kern w:val="0"/>
          <w:sz w:val="32"/>
          <w:szCs w:val="32"/>
        </w:rPr>
        <w:t>二、总体思路</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_Toc76458230 \h </w:instrText>
      </w:r>
      <w:r>
        <w:rPr>
          <w:rFonts w:ascii="Times New Roman" w:hAnsi="Times New Roman" w:cs="Times New Roman"/>
          <w:sz w:val="32"/>
          <w:szCs w:val="32"/>
        </w:rPr>
        <w:fldChar w:fldCharType="separate"/>
      </w:r>
      <w:r>
        <w:rPr>
          <w:rFonts w:ascii="Times New Roman" w:hAnsi="Times New Roman" w:cs="Times New Roman"/>
          <w:sz w:val="32"/>
          <w:szCs w:val="32"/>
        </w:rPr>
        <w:t>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
        <w:ind w:firstLine="993" w:firstLineChars="473"/>
        <w:rPr>
          <w:rFonts w:ascii="Times New Roman" w:hAnsi="Times New Roman" w:eastAsia="宋体" w:cs="Times New Roman"/>
          <w:sz w:val="32"/>
          <w:szCs w:val="32"/>
        </w:rPr>
      </w:pPr>
      <w:r>
        <w:fldChar w:fldCharType="begin"/>
      </w:r>
      <w:r>
        <w:instrText xml:space="preserve"> HYPERLINK \l "_Toc76458231" </w:instrText>
      </w:r>
      <w:r>
        <w:fldChar w:fldCharType="separate"/>
      </w:r>
      <w:r>
        <w:rPr>
          <w:rStyle w:val="23"/>
          <w:rFonts w:hint="eastAsia" w:ascii="Times New Roman" w:hAnsi="Times New Roman" w:cs="Times New Roman"/>
          <w:bCs/>
          <w:sz w:val="32"/>
          <w:szCs w:val="32"/>
        </w:rPr>
        <w:t>（一）指导思想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_Toc76458231 \h </w:instrText>
      </w:r>
      <w:r>
        <w:rPr>
          <w:rFonts w:ascii="Times New Roman" w:hAnsi="Times New Roman" w:cs="Times New Roman"/>
          <w:sz w:val="32"/>
          <w:szCs w:val="32"/>
        </w:rPr>
        <w:fldChar w:fldCharType="separate"/>
      </w:r>
      <w:r>
        <w:rPr>
          <w:rFonts w:ascii="Times New Roman" w:hAnsi="Times New Roman" w:cs="Times New Roman"/>
          <w:sz w:val="32"/>
          <w:szCs w:val="32"/>
        </w:rPr>
        <w:t>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
        <w:ind w:left="0" w:leftChars="0" w:firstLine="707" w:firstLineChars="221"/>
        <w:rPr>
          <w:rFonts w:ascii="Times New Roman" w:hAnsi="Times New Roman" w:eastAsia="宋体" w:cs="Times New Roman"/>
          <w:sz w:val="32"/>
          <w:szCs w:val="32"/>
        </w:rPr>
      </w:pPr>
      <w:r>
        <w:rPr>
          <w:rStyle w:val="23"/>
          <w:rFonts w:ascii="Times New Roman" w:hAnsi="Times New Roman" w:cs="Times New Roman"/>
          <w:sz w:val="32"/>
          <w:szCs w:val="32"/>
        </w:rPr>
        <w:fldChar w:fldCharType="begin"/>
      </w:r>
      <w:r>
        <w:rPr>
          <w:rStyle w:val="23"/>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"_Toc76458232"</w:instrText>
      </w:r>
      <w:r>
        <w:rPr>
          <w:rStyle w:val="23"/>
          <w:rFonts w:ascii="Times New Roman" w:hAnsi="Times New Roman" w:cs="Times New Roman"/>
          <w:sz w:val="32"/>
          <w:szCs w:val="32"/>
        </w:rPr>
        <w:instrText xml:space="preserve"> </w:instrText>
      </w:r>
      <w:r>
        <w:rPr>
          <w:rStyle w:val="23"/>
          <w:rFonts w:ascii="Times New Roman" w:hAnsi="Times New Roman" w:cs="Times New Roman"/>
          <w:sz w:val="32"/>
          <w:szCs w:val="32"/>
        </w:rPr>
        <w:fldChar w:fldCharType="separate"/>
      </w:r>
      <w:r>
        <w:rPr>
          <w:rStyle w:val="23"/>
          <w:rFonts w:hint="eastAsia" w:ascii="Times New Roman" w:hAnsi="Times New Roman" w:cs="Times New Roman"/>
          <w:bCs/>
          <w:sz w:val="32"/>
          <w:szCs w:val="32"/>
        </w:rPr>
        <w:t>（二）基本原则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_Toc76458232 \h </w:instrText>
      </w:r>
      <w:r>
        <w:rPr>
          <w:rFonts w:ascii="Times New Roman" w:hAnsi="Times New Roman" w:cs="Times New Roman"/>
          <w:sz w:val="32"/>
          <w:szCs w:val="32"/>
        </w:rPr>
        <w:fldChar w:fldCharType="separate"/>
      </w:r>
      <w:r>
        <w:rPr>
          <w:rFonts w:ascii="Times New Roman" w:hAnsi="Times New Roman" w:cs="Times New Roman"/>
          <w:sz w:val="32"/>
          <w:szCs w:val="32"/>
        </w:rPr>
        <w:t>8</w:t>
      </w:r>
      <w:r>
        <w:rPr>
          <w:rFonts w:ascii="Times New Roman" w:hAnsi="Times New Roman" w:cs="Times New Roman"/>
          <w:sz w:val="32"/>
          <w:szCs w:val="32"/>
        </w:rPr>
        <w:fldChar w:fldCharType="end"/>
      </w:r>
      <w:r>
        <w:rPr>
          <w:rStyle w:val="23"/>
          <w:rFonts w:ascii="Times New Roman" w:hAnsi="Times New Roman" w:cs="Times New Roman"/>
          <w:sz w:val="32"/>
          <w:szCs w:val="32"/>
        </w:rPr>
        <w:fldChar w:fldCharType="end"/>
      </w:r>
    </w:p>
    <w:p>
      <w:pPr>
        <w:pStyle w:val="2"/>
        <w:ind w:left="0" w:leftChars="0" w:firstLine="707" w:firstLineChars="221"/>
        <w:rPr>
          <w:rFonts w:ascii="Times New Roman" w:hAnsi="Times New Roman" w:eastAsia="宋体" w:cs="Times New Roman"/>
          <w:sz w:val="32"/>
          <w:szCs w:val="32"/>
        </w:rPr>
      </w:pPr>
      <w:r>
        <w:rPr>
          <w:rStyle w:val="23"/>
          <w:rFonts w:ascii="Times New Roman" w:hAnsi="Times New Roman" w:cs="Times New Roman"/>
          <w:sz w:val="32"/>
          <w:szCs w:val="32"/>
        </w:rPr>
        <w:fldChar w:fldCharType="begin"/>
      </w:r>
      <w:r>
        <w:rPr>
          <w:rStyle w:val="23"/>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"_Toc76458233"</w:instrText>
      </w:r>
      <w:r>
        <w:rPr>
          <w:rStyle w:val="23"/>
          <w:rFonts w:ascii="Times New Roman" w:hAnsi="Times New Roman" w:cs="Times New Roman"/>
          <w:sz w:val="32"/>
          <w:szCs w:val="32"/>
        </w:rPr>
        <w:instrText xml:space="preserve"> </w:instrText>
      </w:r>
      <w:r>
        <w:rPr>
          <w:rStyle w:val="23"/>
          <w:rFonts w:ascii="Times New Roman" w:hAnsi="Times New Roman" w:cs="Times New Roman"/>
          <w:sz w:val="32"/>
          <w:szCs w:val="32"/>
        </w:rPr>
        <w:fldChar w:fldCharType="separate"/>
      </w:r>
      <w:r>
        <w:rPr>
          <w:rStyle w:val="23"/>
          <w:rFonts w:hint="eastAsia" w:ascii="Times New Roman" w:hAnsi="Times New Roman" w:cs="Times New Roman"/>
          <w:bCs/>
          <w:sz w:val="32"/>
          <w:szCs w:val="32"/>
        </w:rPr>
        <w:t>（三）发展目标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_Toc76458233 \h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Style w:val="23"/>
          <w:rFonts w:ascii="Times New Roman" w:hAnsi="Times New Roman" w:cs="Times New Roman"/>
          <w:sz w:val="32"/>
          <w:szCs w:val="32"/>
        </w:rPr>
        <w:fldChar w:fldCharType="end"/>
      </w:r>
    </w:p>
    <w:p>
      <w:pPr>
        <w:pStyle w:val="16"/>
        <w:tabs>
          <w:tab w:val="right" w:leader="dot" w:pos="8296"/>
        </w:tabs>
        <w:rPr>
          <w:rFonts w:ascii="Times New Roman" w:hAnsi="Times New Roman" w:cs="Times New Roman"/>
          <w:sz w:val="32"/>
          <w:szCs w:val="32"/>
        </w:rPr>
      </w:pPr>
      <w:r>
        <w:fldChar w:fldCharType="begin"/>
      </w:r>
      <w:r>
        <w:instrText xml:space="preserve"> HYPERLINK \l "_Toc76458234" </w:instrText>
      </w:r>
      <w:r>
        <w:fldChar w:fldCharType="separate"/>
      </w:r>
      <w:r>
        <w:rPr>
          <w:rStyle w:val="23"/>
          <w:rFonts w:hint="eastAsia" w:ascii="Times New Roman" w:hAnsi="Times New Roman" w:eastAsia="黑体" w:cs="Times New Roman"/>
          <w:kern w:val="0"/>
          <w:sz w:val="32"/>
          <w:szCs w:val="32"/>
        </w:rPr>
        <w:t>三、主要任务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_Toc76458234 \h </w:instrText>
      </w:r>
      <w:r>
        <w:rPr>
          <w:rFonts w:ascii="Times New Roman" w:hAnsi="Times New Roman" w:cs="Times New Roman"/>
          <w:sz w:val="32"/>
          <w:szCs w:val="32"/>
        </w:rPr>
        <w:fldChar w:fldCharType="separate"/>
      </w:r>
      <w:r>
        <w:rPr>
          <w:rFonts w:ascii="Times New Roman" w:hAnsi="Times New Roman" w:cs="Times New Roman"/>
          <w:sz w:val="32"/>
          <w:szCs w:val="32"/>
        </w:rPr>
        <w:t>12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
        <w:ind w:firstLine="993" w:firstLineChars="473"/>
        <w:rPr>
          <w:rFonts w:ascii="Times New Roman" w:hAnsi="Times New Roman" w:eastAsia="宋体" w:cs="Times New Roman"/>
          <w:sz w:val="32"/>
          <w:szCs w:val="32"/>
        </w:rPr>
      </w:pPr>
      <w:r>
        <w:fldChar w:fldCharType="begin"/>
      </w:r>
      <w:r>
        <w:instrText xml:space="preserve"> HYPERLINK \l "_Toc76458235" </w:instrText>
      </w:r>
      <w:r>
        <w:fldChar w:fldCharType="separate"/>
      </w:r>
      <w:r>
        <w:rPr>
          <w:rStyle w:val="23"/>
          <w:rFonts w:hint="eastAsia" w:ascii="Times New Roman" w:hAnsi="Times New Roman" w:cs="Times New Roman"/>
          <w:bCs/>
          <w:sz w:val="32"/>
          <w:szCs w:val="32"/>
        </w:rPr>
        <w:t>（一）加强知识产权制度建设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_Toc76458235 \h </w:instrText>
      </w:r>
      <w:r>
        <w:rPr>
          <w:rFonts w:ascii="Times New Roman" w:hAnsi="Times New Roman" w:cs="Times New Roman"/>
          <w:sz w:val="32"/>
          <w:szCs w:val="32"/>
        </w:rPr>
        <w:fldChar w:fldCharType="separate"/>
      </w:r>
      <w:r>
        <w:rPr>
          <w:rFonts w:ascii="Times New Roman" w:hAnsi="Times New Roman" w:cs="Times New Roman"/>
          <w:sz w:val="32"/>
          <w:szCs w:val="32"/>
        </w:rPr>
        <w:t>12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
        <w:ind w:firstLine="993" w:firstLineChars="473"/>
        <w:rPr>
          <w:rFonts w:ascii="Times New Roman" w:hAnsi="Times New Roman" w:eastAsia="宋体" w:cs="Times New Roman"/>
          <w:sz w:val="32"/>
          <w:szCs w:val="32"/>
        </w:rPr>
      </w:pPr>
      <w:r>
        <w:fldChar w:fldCharType="begin"/>
      </w:r>
      <w:r>
        <w:instrText xml:space="preserve"> HYPERLINK \l "_Toc76458236" </w:instrText>
      </w:r>
      <w:r>
        <w:fldChar w:fldCharType="separate"/>
      </w:r>
      <w:r>
        <w:rPr>
          <w:rStyle w:val="23"/>
          <w:rFonts w:hint="eastAsia" w:ascii="Times New Roman" w:hAnsi="Times New Roman" w:cs="Times New Roman"/>
          <w:bCs/>
          <w:sz w:val="32"/>
          <w:szCs w:val="32"/>
        </w:rPr>
        <w:t>（二）强化知识产权高标准保护</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_Toc76458236 \h </w:instrText>
      </w:r>
      <w:r>
        <w:rPr>
          <w:rFonts w:ascii="Times New Roman" w:hAnsi="Times New Roman" w:cs="Times New Roman"/>
          <w:sz w:val="32"/>
          <w:szCs w:val="32"/>
        </w:rPr>
        <w:fldChar w:fldCharType="separate"/>
      </w:r>
      <w:r>
        <w:rPr>
          <w:rFonts w:ascii="Times New Roman" w:hAnsi="Times New Roman" w:cs="Times New Roman"/>
          <w:sz w:val="32"/>
          <w:szCs w:val="32"/>
        </w:rPr>
        <w:t>14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
        <w:ind w:left="0" w:leftChars="0" w:firstLine="707" w:firstLineChars="221"/>
        <w:rPr>
          <w:rFonts w:ascii="Times New Roman" w:hAnsi="Times New Roman" w:eastAsia="宋体" w:cs="Times New Roman"/>
          <w:sz w:val="32"/>
          <w:szCs w:val="32"/>
        </w:rPr>
      </w:pPr>
      <w:r>
        <w:rPr>
          <w:rStyle w:val="23"/>
          <w:rFonts w:ascii="Times New Roman" w:hAnsi="Times New Roman" w:cs="Times New Roman"/>
          <w:sz w:val="32"/>
          <w:szCs w:val="32"/>
        </w:rPr>
        <w:fldChar w:fldCharType="begin"/>
      </w:r>
      <w:r>
        <w:rPr>
          <w:rStyle w:val="23"/>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"_Toc76458237"</w:instrText>
      </w:r>
      <w:r>
        <w:rPr>
          <w:rStyle w:val="23"/>
          <w:rFonts w:ascii="Times New Roman" w:hAnsi="Times New Roman" w:cs="Times New Roman"/>
          <w:sz w:val="32"/>
          <w:szCs w:val="32"/>
        </w:rPr>
        <w:instrText xml:space="preserve"> </w:instrText>
      </w:r>
      <w:r>
        <w:rPr>
          <w:rStyle w:val="23"/>
          <w:rFonts w:ascii="Times New Roman" w:hAnsi="Times New Roman" w:cs="Times New Roman"/>
          <w:sz w:val="32"/>
          <w:szCs w:val="32"/>
        </w:rPr>
        <w:fldChar w:fldCharType="separate"/>
      </w:r>
      <w:r>
        <w:rPr>
          <w:rStyle w:val="23"/>
          <w:rFonts w:hint="eastAsia" w:ascii="Times New Roman" w:hAnsi="Times New Roman" w:cs="Times New Roman"/>
          <w:bCs/>
          <w:sz w:val="32"/>
          <w:szCs w:val="32"/>
        </w:rPr>
        <w:t>（三）加强关键领域自主知识产权创造和储备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_Toc76458237 \h </w:instrText>
      </w:r>
      <w:r>
        <w:rPr>
          <w:rFonts w:ascii="Times New Roman" w:hAnsi="Times New Roman" w:cs="Times New Roman"/>
          <w:sz w:val="32"/>
          <w:szCs w:val="32"/>
        </w:rPr>
        <w:fldChar w:fldCharType="separate"/>
      </w:r>
      <w:r>
        <w:rPr>
          <w:rFonts w:ascii="Times New Roman" w:hAnsi="Times New Roman" w:cs="Times New Roman"/>
          <w:sz w:val="32"/>
          <w:szCs w:val="32"/>
        </w:rPr>
        <w:t>17</w:t>
      </w:r>
      <w:r>
        <w:rPr>
          <w:rFonts w:ascii="Times New Roman" w:hAnsi="Times New Roman" w:cs="Times New Roman"/>
          <w:sz w:val="32"/>
          <w:szCs w:val="32"/>
        </w:rPr>
        <w:fldChar w:fldCharType="end"/>
      </w:r>
      <w:r>
        <w:rPr>
          <w:rStyle w:val="23"/>
          <w:rFonts w:ascii="Times New Roman" w:hAnsi="Times New Roman" w:cs="Times New Roman"/>
          <w:sz w:val="32"/>
          <w:szCs w:val="32"/>
        </w:rPr>
        <w:fldChar w:fldCharType="end"/>
      </w:r>
    </w:p>
    <w:p>
      <w:pPr>
        <w:pStyle w:val="2"/>
        <w:ind w:left="0" w:leftChars="0" w:firstLine="707" w:firstLineChars="221"/>
        <w:rPr>
          <w:rFonts w:ascii="Times New Roman" w:hAnsi="Times New Roman" w:eastAsia="宋体" w:cs="Times New Roman"/>
          <w:sz w:val="32"/>
          <w:szCs w:val="32"/>
        </w:rPr>
      </w:pPr>
      <w:r>
        <w:rPr>
          <w:rStyle w:val="23"/>
          <w:rFonts w:ascii="Times New Roman" w:hAnsi="Times New Roman" w:cs="Times New Roman"/>
          <w:sz w:val="32"/>
          <w:szCs w:val="32"/>
        </w:rPr>
        <w:fldChar w:fldCharType="begin"/>
      </w:r>
      <w:r>
        <w:rPr>
          <w:rStyle w:val="23"/>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"_Toc76458238"</w:instrText>
      </w:r>
      <w:r>
        <w:rPr>
          <w:rStyle w:val="23"/>
          <w:rFonts w:ascii="Times New Roman" w:hAnsi="Times New Roman" w:cs="Times New Roman"/>
          <w:sz w:val="32"/>
          <w:szCs w:val="32"/>
        </w:rPr>
        <w:instrText xml:space="preserve"> </w:instrText>
      </w:r>
      <w:r>
        <w:rPr>
          <w:rStyle w:val="23"/>
          <w:rFonts w:ascii="Times New Roman" w:hAnsi="Times New Roman" w:cs="Times New Roman"/>
          <w:sz w:val="32"/>
          <w:szCs w:val="32"/>
        </w:rPr>
        <w:fldChar w:fldCharType="separate"/>
      </w:r>
      <w:r>
        <w:rPr>
          <w:rStyle w:val="23"/>
          <w:rFonts w:hint="eastAsia" w:ascii="Times New Roman" w:hAnsi="Times New Roman" w:cs="Times New Roman"/>
          <w:bCs/>
          <w:sz w:val="32"/>
          <w:szCs w:val="32"/>
        </w:rPr>
        <w:t>（四）完善知识产权市场运行体制机制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_Toc76458238 \h </w:instrText>
      </w:r>
      <w:r>
        <w:rPr>
          <w:rFonts w:ascii="Times New Roman" w:hAnsi="Times New Roman" w:cs="Times New Roman"/>
          <w:sz w:val="32"/>
          <w:szCs w:val="32"/>
        </w:rPr>
        <w:fldChar w:fldCharType="separate"/>
      </w:r>
      <w:r>
        <w:rPr>
          <w:rFonts w:ascii="Times New Roman" w:hAnsi="Times New Roman" w:cs="Times New Roman"/>
          <w:sz w:val="32"/>
          <w:szCs w:val="32"/>
        </w:rPr>
        <w:t>20</w:t>
      </w:r>
      <w:r>
        <w:rPr>
          <w:rFonts w:ascii="Times New Roman" w:hAnsi="Times New Roman" w:cs="Times New Roman"/>
          <w:sz w:val="32"/>
          <w:szCs w:val="32"/>
        </w:rPr>
        <w:fldChar w:fldCharType="end"/>
      </w:r>
      <w:r>
        <w:rPr>
          <w:rStyle w:val="23"/>
          <w:rFonts w:ascii="Times New Roman" w:hAnsi="Times New Roman" w:cs="Times New Roman"/>
          <w:sz w:val="32"/>
          <w:szCs w:val="32"/>
        </w:rPr>
        <w:fldChar w:fldCharType="end"/>
      </w:r>
    </w:p>
    <w:p>
      <w:pPr>
        <w:pStyle w:val="2"/>
        <w:ind w:firstLine="993" w:firstLineChars="473"/>
        <w:rPr>
          <w:rFonts w:ascii="Times New Roman" w:hAnsi="Times New Roman" w:eastAsia="宋体" w:cs="Times New Roman"/>
          <w:sz w:val="32"/>
          <w:szCs w:val="32"/>
        </w:rPr>
      </w:pPr>
      <w:r>
        <w:fldChar w:fldCharType="begin"/>
      </w:r>
      <w:r>
        <w:instrText xml:space="preserve"> HYPERLINK \l "_Toc76458239" </w:instrText>
      </w:r>
      <w:r>
        <w:fldChar w:fldCharType="separate"/>
      </w:r>
      <w:r>
        <w:rPr>
          <w:rStyle w:val="23"/>
          <w:rFonts w:hint="eastAsia" w:ascii="Times New Roman" w:hAnsi="Times New Roman" w:cs="Times New Roman"/>
          <w:bCs/>
          <w:sz w:val="32"/>
          <w:szCs w:val="32"/>
        </w:rPr>
        <w:t>（五）深化知识产权与产业融合发展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_Toc76458239 \h </w:instrText>
      </w:r>
      <w:r>
        <w:rPr>
          <w:rFonts w:ascii="Times New Roman" w:hAnsi="Times New Roman" w:cs="Times New Roman"/>
          <w:sz w:val="32"/>
          <w:szCs w:val="32"/>
        </w:rPr>
        <w:fldChar w:fldCharType="separate"/>
      </w:r>
      <w:r>
        <w:rPr>
          <w:rFonts w:ascii="Times New Roman" w:hAnsi="Times New Roman" w:cs="Times New Roman"/>
          <w:sz w:val="32"/>
          <w:szCs w:val="32"/>
        </w:rPr>
        <w:t>23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
        <w:ind w:firstLine="993" w:firstLineChars="473"/>
        <w:rPr>
          <w:rFonts w:ascii="Times New Roman" w:hAnsi="Times New Roman" w:eastAsia="宋体" w:cs="Times New Roman"/>
          <w:sz w:val="32"/>
          <w:szCs w:val="32"/>
        </w:rPr>
      </w:pPr>
      <w:r>
        <w:fldChar w:fldCharType="begin"/>
      </w:r>
      <w:r>
        <w:instrText xml:space="preserve"> HYPERLINK \l "_Toc76458240" </w:instrText>
      </w:r>
      <w:r>
        <w:fldChar w:fldCharType="separate"/>
      </w:r>
      <w:r>
        <w:rPr>
          <w:rStyle w:val="23"/>
          <w:rFonts w:hint="eastAsia" w:ascii="Times New Roman" w:hAnsi="Times New Roman" w:cs="Times New Roman"/>
          <w:bCs/>
          <w:sz w:val="32"/>
          <w:szCs w:val="32"/>
        </w:rPr>
        <w:t>（六）构建便民利民的知识产权公共服务体系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_Toc76458240 \h </w:instrText>
      </w:r>
      <w:r>
        <w:rPr>
          <w:rFonts w:ascii="Times New Roman" w:hAnsi="Times New Roman" w:cs="Times New Roman"/>
          <w:sz w:val="32"/>
          <w:szCs w:val="32"/>
        </w:rPr>
        <w:fldChar w:fldCharType="separate"/>
      </w:r>
      <w:r>
        <w:rPr>
          <w:rFonts w:ascii="Times New Roman" w:hAnsi="Times New Roman" w:cs="Times New Roman"/>
          <w:sz w:val="32"/>
          <w:szCs w:val="32"/>
        </w:rPr>
        <w:t>25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
        <w:ind w:firstLine="993" w:firstLineChars="473"/>
        <w:rPr>
          <w:rFonts w:ascii="Times New Roman" w:hAnsi="Times New Roman" w:eastAsia="宋体" w:cs="Times New Roman"/>
          <w:sz w:val="32"/>
          <w:szCs w:val="32"/>
        </w:rPr>
      </w:pPr>
      <w:r>
        <w:fldChar w:fldCharType="begin"/>
      </w:r>
      <w:r>
        <w:instrText xml:space="preserve"> HYPERLINK \l "_Toc76458241" </w:instrText>
      </w:r>
      <w:r>
        <w:fldChar w:fldCharType="separate"/>
      </w:r>
      <w:r>
        <w:rPr>
          <w:rStyle w:val="23"/>
          <w:rFonts w:hint="eastAsia" w:ascii="Times New Roman" w:hAnsi="Times New Roman" w:cs="Times New Roman"/>
          <w:bCs/>
          <w:sz w:val="32"/>
          <w:szCs w:val="32"/>
        </w:rPr>
        <w:t>（七）统筹区域知识产权发展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_Toc76458241 \h </w:instrText>
      </w:r>
      <w:r>
        <w:rPr>
          <w:rFonts w:ascii="Times New Roman" w:hAnsi="Times New Roman" w:cs="Times New Roman"/>
          <w:sz w:val="32"/>
          <w:szCs w:val="32"/>
        </w:rPr>
        <w:fldChar w:fldCharType="separate"/>
      </w:r>
      <w:r>
        <w:rPr>
          <w:rFonts w:ascii="Times New Roman" w:hAnsi="Times New Roman" w:cs="Times New Roman"/>
          <w:sz w:val="32"/>
          <w:szCs w:val="32"/>
        </w:rPr>
        <w:t>26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
        <w:ind w:firstLine="993" w:firstLineChars="473"/>
        <w:rPr>
          <w:rFonts w:ascii="Times New Roman" w:hAnsi="Times New Roman" w:eastAsia="宋体" w:cs="Times New Roman"/>
          <w:sz w:val="32"/>
          <w:szCs w:val="32"/>
        </w:rPr>
      </w:pPr>
      <w:r>
        <w:fldChar w:fldCharType="begin"/>
      </w:r>
      <w:r>
        <w:instrText xml:space="preserve"> HYPERLINK \l "_Toc76458242" </w:instrText>
      </w:r>
      <w:r>
        <w:fldChar w:fldCharType="separate"/>
      </w:r>
      <w:r>
        <w:rPr>
          <w:rStyle w:val="23"/>
          <w:rFonts w:hint="eastAsia" w:ascii="Times New Roman" w:hAnsi="Times New Roman" w:cs="Times New Roman"/>
          <w:bCs/>
          <w:sz w:val="32"/>
          <w:szCs w:val="32"/>
        </w:rPr>
        <w:t>（八）加强知识产权人才培育</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_Toc76458242 \h </w:instrText>
      </w:r>
      <w:r>
        <w:rPr>
          <w:rFonts w:ascii="Times New Roman" w:hAnsi="Times New Roman" w:cs="Times New Roman"/>
          <w:sz w:val="32"/>
          <w:szCs w:val="32"/>
        </w:rPr>
        <w:fldChar w:fldCharType="separate"/>
      </w:r>
      <w:r>
        <w:rPr>
          <w:rFonts w:ascii="Times New Roman" w:hAnsi="Times New Roman" w:cs="Times New Roman"/>
          <w:sz w:val="32"/>
          <w:szCs w:val="32"/>
        </w:rPr>
        <w:t>28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
        <w:ind w:firstLine="993" w:firstLineChars="473"/>
        <w:rPr>
          <w:rFonts w:ascii="Times New Roman" w:hAnsi="Times New Roman" w:eastAsia="宋体" w:cs="Times New Roman"/>
          <w:sz w:val="32"/>
          <w:szCs w:val="32"/>
        </w:rPr>
      </w:pPr>
      <w:r>
        <w:fldChar w:fldCharType="begin"/>
      </w:r>
      <w:r>
        <w:instrText xml:space="preserve"> HYPERLINK \l "_Toc76458243" </w:instrText>
      </w:r>
      <w:r>
        <w:fldChar w:fldCharType="separate"/>
      </w:r>
      <w:r>
        <w:rPr>
          <w:rStyle w:val="23"/>
          <w:rFonts w:hint="eastAsia" w:ascii="Times New Roman" w:hAnsi="Times New Roman" w:cs="Times New Roman"/>
          <w:bCs/>
          <w:sz w:val="32"/>
          <w:szCs w:val="32"/>
        </w:rPr>
        <w:t>（九）推进知识产权领域区域合作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_Toc76458243 \h </w:instrText>
      </w:r>
      <w:r>
        <w:rPr>
          <w:rFonts w:ascii="Times New Roman" w:hAnsi="Times New Roman" w:cs="Times New Roman"/>
          <w:sz w:val="32"/>
          <w:szCs w:val="32"/>
        </w:rPr>
        <w:fldChar w:fldCharType="separate"/>
      </w:r>
      <w:r>
        <w:rPr>
          <w:rFonts w:ascii="Times New Roman" w:hAnsi="Times New Roman" w:cs="Times New Roman"/>
          <w:sz w:val="32"/>
          <w:szCs w:val="32"/>
        </w:rPr>
        <w:t>29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6"/>
        <w:tabs>
          <w:tab w:val="right" w:leader="dot" w:pos="8296"/>
        </w:tabs>
        <w:rPr>
          <w:rFonts w:ascii="Times New Roman" w:hAnsi="Times New Roman" w:cs="Times New Roman"/>
          <w:sz w:val="32"/>
          <w:szCs w:val="32"/>
        </w:rPr>
      </w:pPr>
      <w:r>
        <w:fldChar w:fldCharType="begin"/>
      </w:r>
      <w:r>
        <w:instrText xml:space="preserve"> HYPERLINK \l "_Toc76458244" </w:instrText>
      </w:r>
      <w:r>
        <w:fldChar w:fldCharType="separate"/>
      </w:r>
      <w:r>
        <w:rPr>
          <w:rStyle w:val="23"/>
          <w:rFonts w:hint="eastAsia" w:ascii="Times New Roman" w:hAnsi="Times New Roman" w:eastAsia="黑体" w:cs="Times New Roman"/>
          <w:kern w:val="0"/>
          <w:sz w:val="32"/>
          <w:szCs w:val="32"/>
        </w:rPr>
        <w:t>四、保障措施</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_Toc76458244 \h </w:instrText>
      </w:r>
      <w:r>
        <w:rPr>
          <w:rFonts w:ascii="Times New Roman" w:hAnsi="Times New Roman" w:cs="Times New Roman"/>
          <w:sz w:val="32"/>
          <w:szCs w:val="32"/>
        </w:rPr>
        <w:fldChar w:fldCharType="separate"/>
      </w:r>
      <w:r>
        <w:rPr>
          <w:rFonts w:ascii="Times New Roman" w:hAnsi="Times New Roman" w:cs="Times New Roman"/>
          <w:sz w:val="32"/>
          <w:szCs w:val="32"/>
        </w:rPr>
        <w:t>30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
        <w:ind w:firstLine="993" w:firstLineChars="473"/>
        <w:rPr>
          <w:rFonts w:ascii="Times New Roman" w:hAnsi="Times New Roman" w:eastAsia="宋体" w:cs="Times New Roman"/>
          <w:sz w:val="32"/>
          <w:szCs w:val="32"/>
        </w:rPr>
      </w:pPr>
      <w:r>
        <w:fldChar w:fldCharType="begin"/>
      </w:r>
      <w:r>
        <w:instrText xml:space="preserve"> HYPERLINK \l "_Toc76458245" </w:instrText>
      </w:r>
      <w:r>
        <w:fldChar w:fldCharType="separate"/>
      </w:r>
      <w:r>
        <w:rPr>
          <w:rStyle w:val="23"/>
          <w:rFonts w:hint="eastAsia" w:ascii="Times New Roman" w:hAnsi="Times New Roman" w:cs="Times New Roman"/>
          <w:sz w:val="32"/>
          <w:szCs w:val="32"/>
        </w:rPr>
        <w:t>（一）加强组织协调</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_Toc76458245 \h </w:instrText>
      </w:r>
      <w:r>
        <w:rPr>
          <w:rFonts w:ascii="Times New Roman" w:hAnsi="Times New Roman" w:cs="Times New Roman"/>
          <w:sz w:val="32"/>
          <w:szCs w:val="32"/>
        </w:rPr>
        <w:fldChar w:fldCharType="separate"/>
      </w:r>
      <w:r>
        <w:rPr>
          <w:rFonts w:ascii="Times New Roman" w:hAnsi="Times New Roman" w:cs="Times New Roman"/>
          <w:sz w:val="32"/>
          <w:szCs w:val="32"/>
        </w:rPr>
        <w:t>30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
        <w:ind w:firstLine="993" w:firstLineChars="473"/>
        <w:rPr>
          <w:rFonts w:ascii="Times New Roman" w:hAnsi="Times New Roman" w:eastAsia="宋体" w:cs="Times New Roman"/>
          <w:sz w:val="32"/>
          <w:szCs w:val="32"/>
        </w:rPr>
      </w:pPr>
      <w:r>
        <w:fldChar w:fldCharType="begin"/>
      </w:r>
      <w:r>
        <w:instrText xml:space="preserve"> HYPERLINK \l "_Toc76458246" </w:instrText>
      </w:r>
      <w:r>
        <w:fldChar w:fldCharType="separate"/>
      </w:r>
      <w:r>
        <w:rPr>
          <w:rStyle w:val="23"/>
          <w:rFonts w:hint="eastAsia" w:ascii="Times New Roman" w:hAnsi="Times New Roman" w:cs="Times New Roman"/>
          <w:sz w:val="32"/>
          <w:szCs w:val="32"/>
        </w:rPr>
        <w:t>（二）加大资金投入</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_Toc76458246 \h </w:instrText>
      </w:r>
      <w:r>
        <w:rPr>
          <w:rFonts w:ascii="Times New Roman" w:hAnsi="Times New Roman" w:cs="Times New Roman"/>
          <w:sz w:val="32"/>
          <w:szCs w:val="32"/>
        </w:rPr>
        <w:fldChar w:fldCharType="separate"/>
      </w:r>
      <w:r>
        <w:rPr>
          <w:rFonts w:ascii="Times New Roman" w:hAnsi="Times New Roman" w:cs="Times New Roman"/>
          <w:sz w:val="32"/>
          <w:szCs w:val="32"/>
        </w:rPr>
        <w:t>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r>
        <w:rPr>
          <w:rFonts w:hint="eastAsia" w:ascii="Times New Roman" w:hAnsi="Times New Roman" w:cs="Times New Roman"/>
          <w:sz w:val="32"/>
          <w:szCs w:val="32"/>
          <w:lang w:val="en-US" w:eastAsia="zh-CN"/>
        </w:rPr>
        <w:t>0</w:t>
      </w:r>
    </w:p>
    <w:p>
      <w:pPr>
        <w:pStyle w:val="2"/>
        <w:ind w:firstLine="960" w:firstLineChars="300"/>
        <w:rPr>
          <w:rFonts w:ascii="Times New Roman" w:hAnsi="Times New Roman" w:eastAsia="宋体" w:cs="Times New Roman"/>
          <w:sz w:val="32"/>
          <w:szCs w:val="32"/>
        </w:rPr>
      </w:pPr>
      <w:r>
        <w:rPr>
          <w:rStyle w:val="23"/>
          <w:rFonts w:ascii="Times New Roman" w:hAnsi="Times New Roman" w:cs="Times New Roman"/>
          <w:sz w:val="32"/>
          <w:szCs w:val="32"/>
        </w:rPr>
        <w:fldChar w:fldCharType="begin"/>
      </w:r>
      <w:r>
        <w:rPr>
          <w:rStyle w:val="23"/>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"_Toc76458247"</w:instrText>
      </w:r>
      <w:r>
        <w:rPr>
          <w:rStyle w:val="23"/>
          <w:rFonts w:ascii="Times New Roman" w:hAnsi="Times New Roman" w:cs="Times New Roman"/>
          <w:sz w:val="32"/>
          <w:szCs w:val="32"/>
        </w:rPr>
        <w:instrText xml:space="preserve"> </w:instrText>
      </w:r>
      <w:r>
        <w:rPr>
          <w:rStyle w:val="23"/>
          <w:rFonts w:ascii="Times New Roman" w:hAnsi="Times New Roman" w:cs="Times New Roman"/>
          <w:sz w:val="32"/>
          <w:szCs w:val="32"/>
        </w:rPr>
        <w:fldChar w:fldCharType="separate"/>
      </w:r>
      <w:r>
        <w:rPr>
          <w:rStyle w:val="23"/>
          <w:rFonts w:hint="eastAsia" w:ascii="Times New Roman" w:hAnsi="Times New Roman" w:cs="Times New Roman"/>
          <w:bCs/>
          <w:sz w:val="32"/>
          <w:szCs w:val="32"/>
        </w:rPr>
        <w:t>（三）落实统计考核</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_Toc76458247 \h </w:instrText>
      </w:r>
      <w:r>
        <w:rPr>
          <w:rFonts w:ascii="Times New Roman" w:hAnsi="Times New Roman" w:cs="Times New Roman"/>
          <w:sz w:val="32"/>
          <w:szCs w:val="32"/>
        </w:rPr>
        <w:fldChar w:fldCharType="separate"/>
      </w:r>
      <w:r>
        <w:rPr>
          <w:rFonts w:ascii="Times New Roman" w:hAnsi="Times New Roman" w:cs="Times New Roman"/>
          <w:sz w:val="32"/>
          <w:szCs w:val="32"/>
        </w:rPr>
        <w:t>3</w:t>
      </w:r>
      <w:r>
        <w:rPr>
          <w:rFonts w:ascii="Times New Roman" w:hAnsi="Times New Roman" w:cs="Times New Roman"/>
          <w:sz w:val="32"/>
          <w:szCs w:val="32"/>
        </w:rPr>
        <w:fldChar w:fldCharType="end"/>
      </w:r>
      <w:r>
        <w:rPr>
          <w:rStyle w:val="23"/>
          <w:rFonts w:ascii="Times New Roman" w:hAnsi="Times New Roman" w:cs="Times New Roman"/>
          <w:sz w:val="32"/>
          <w:szCs w:val="32"/>
        </w:rPr>
        <w:fldChar w:fldCharType="end"/>
      </w:r>
      <w:r>
        <w:rPr>
          <w:rFonts w:hint="eastAsia" w:ascii="Times New Roman" w:hAnsi="Times New Roman" w:cs="Times New Roman"/>
          <w:sz w:val="32"/>
          <w:szCs w:val="32"/>
          <w:lang w:val="en-US" w:eastAsia="zh-CN"/>
        </w:rPr>
        <w:t>0</w:t>
      </w:r>
    </w:p>
    <w:p>
      <w:pPr>
        <w:spacing w:line="600" w:lineRule="exact"/>
        <w:rPr>
          <w:b/>
          <w:bCs/>
          <w:lang w:val="zh-CN"/>
        </w:rPr>
      </w:pPr>
      <w:r>
        <w:rPr>
          <w:rFonts w:ascii="Times New Roman" w:hAnsi="Times New Roman" w:cs="Times New Roman"/>
          <w:bCs/>
          <w:sz w:val="32"/>
          <w:szCs w:val="32"/>
          <w:lang w:val="zh-CN"/>
        </w:rPr>
        <w:fldChar w:fldCharType="end"/>
      </w:r>
    </w:p>
    <w:p>
      <w:pPr>
        <w:widowControl/>
        <w:spacing w:line="600" w:lineRule="exact"/>
        <w:rPr>
          <w:rFonts w:ascii="黑体" w:hAnsi="黑体" w:eastAsia="黑体" w:cs="宋体"/>
          <w:kern w:val="0"/>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widowControl/>
        <w:spacing w:line="600" w:lineRule="exact"/>
        <w:jc w:val="center"/>
        <w:outlineLvl w:val="0"/>
        <w:rPr>
          <w:rFonts w:ascii="黑体" w:hAnsi="黑体" w:eastAsia="黑体"/>
          <w:kern w:val="0"/>
          <w:sz w:val="32"/>
          <w:szCs w:val="32"/>
        </w:rPr>
      </w:pPr>
      <w:bookmarkStart w:id="0" w:name="_Toc76458225"/>
      <w:r>
        <w:rPr>
          <w:rFonts w:hint="eastAsia" w:ascii="黑体" w:hAnsi="黑体" w:eastAsia="黑体"/>
          <w:kern w:val="0"/>
          <w:sz w:val="32"/>
          <w:szCs w:val="32"/>
        </w:rPr>
        <w:t>导言</w:t>
      </w:r>
      <w:bookmarkEnd w:id="0"/>
    </w:p>
    <w:p>
      <w:pPr>
        <w:autoSpaceDE w:val="0"/>
        <w:autoSpaceDN w:val="0"/>
        <w:adjustRightIn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四五”时期是清远在全面建成小康社会的基础上，乘势而上开启全面建设社会主义现代化新征程的第一个五年，也是我市知识产权事业从高速发展向高质量发展转变的关键时期。习近平总书记指出：“创新是引领发展的第一动力，保护知识产权就是保护创新”。当前，我市已进入加快推动经济社会高质量发展，全面建设美好清远的新发展阶段，知识产权赋能区域产业升级，促进建设现代化经济体系，激发全社会创新活力，推动构建新发展格局的重要作用将更加凸现。为全面加强知识产权保护，加快推动知识产权治理体系和治理能力现代化，大力提升知识产权创造质量、运用效益、管理效能和服务水平，推动经济社会高质量发展，依据《知识产权强国战略纲要（2021-2035年）》、《“十四五”国家知识产权保护和运用规划》、《广东省知识产权保护和运用“十四五”规划》、《清远市国民经济和社会发展第十四个五年规划和2035年远景目标纲要》，结合清远市实际，特制定本规划。本规划是市级专项规划，规划期限为2021年至2025年。</w:t>
      </w:r>
    </w:p>
    <w:p>
      <w:pPr>
        <w:autoSpaceDE w:val="0"/>
        <w:autoSpaceDN w:val="0"/>
        <w:adjustRightInd w:val="0"/>
        <w:spacing w:line="600" w:lineRule="exact"/>
        <w:ind w:firstLine="640" w:firstLineChars="200"/>
        <w:outlineLvl w:val="0"/>
        <w:rPr>
          <w:rFonts w:ascii="黑体" w:hAnsi="黑体" w:eastAsia="黑体" w:cs="宋体"/>
          <w:kern w:val="0"/>
          <w:sz w:val="32"/>
          <w:szCs w:val="32"/>
        </w:rPr>
      </w:pPr>
      <w:bookmarkStart w:id="1" w:name="_Toc2282"/>
      <w:bookmarkStart w:id="2" w:name="_Toc76458226"/>
      <w:r>
        <w:rPr>
          <w:rFonts w:ascii="黑体" w:hAnsi="黑体" w:eastAsia="黑体" w:cs="宋体"/>
          <w:kern w:val="0"/>
          <w:sz w:val="32"/>
          <w:szCs w:val="32"/>
        </w:rPr>
        <w:t>一、</w:t>
      </w:r>
      <w:bookmarkEnd w:id="1"/>
      <w:r>
        <w:rPr>
          <w:rFonts w:hint="eastAsia" w:ascii="黑体" w:hAnsi="黑体" w:eastAsia="黑体" w:cs="宋体"/>
          <w:kern w:val="0"/>
          <w:sz w:val="32"/>
          <w:szCs w:val="32"/>
        </w:rPr>
        <w:t>发展基础与形势</w:t>
      </w:r>
      <w:bookmarkEnd w:id="2"/>
    </w:p>
    <w:p>
      <w:pPr>
        <w:autoSpaceDE w:val="0"/>
        <w:autoSpaceDN w:val="0"/>
        <w:adjustRightInd w:val="0"/>
        <w:spacing w:line="600" w:lineRule="exact"/>
        <w:ind w:firstLine="658"/>
        <w:outlineLvl w:val="1"/>
        <w:rPr>
          <w:rFonts w:ascii="楷体_GB2312" w:eastAsia="楷体_GB2312"/>
          <w:bCs/>
          <w:sz w:val="32"/>
          <w:szCs w:val="20"/>
        </w:rPr>
      </w:pPr>
      <w:bookmarkStart w:id="3" w:name="_Toc7028"/>
      <w:bookmarkStart w:id="4" w:name="_Toc17217"/>
      <w:bookmarkStart w:id="5" w:name="_Toc76458227"/>
      <w:r>
        <w:rPr>
          <w:rFonts w:hint="eastAsia" w:ascii="楷体_GB2312" w:eastAsia="楷体_GB2312"/>
          <w:bCs/>
          <w:sz w:val="32"/>
          <w:szCs w:val="20"/>
        </w:rPr>
        <w:t>（一）</w:t>
      </w:r>
      <w:bookmarkEnd w:id="3"/>
      <w:bookmarkEnd w:id="4"/>
      <w:r>
        <w:rPr>
          <w:rFonts w:hint="eastAsia" w:ascii="楷体_GB2312" w:eastAsia="楷体_GB2312"/>
          <w:bCs/>
          <w:sz w:val="32"/>
          <w:szCs w:val="20"/>
        </w:rPr>
        <w:t>发展基础</w:t>
      </w:r>
      <w:bookmarkEnd w:id="5"/>
    </w:p>
    <w:p>
      <w:pPr>
        <w:autoSpaceDE w:val="0"/>
        <w:autoSpaceDN w:val="0"/>
        <w:adjustRightIn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五”时期，清远市知识产权工作紧紧围绕产业转型升级和创新驱动发展大局，知识产权创造、运用、保护、管理和服务水平显著提高，成为粤北地区首个国家知识产权试点城市，高新区成功获批国家知识产权试点园区，为建设知识产权强市奠定良好基础。</w:t>
      </w:r>
    </w:p>
    <w:p>
      <w:pPr>
        <w:autoSpaceDE w:val="0"/>
        <w:autoSpaceDN w:val="0"/>
        <w:adjustRightInd w:val="0"/>
        <w:spacing w:line="58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一是知识产权综合实力快速提升。</w:t>
      </w:r>
      <w:r>
        <w:rPr>
          <w:rFonts w:hint="eastAsia" w:ascii="仿宋_GB2312" w:hAnsi="仿宋_GB2312" w:eastAsia="仿宋_GB2312" w:cs="仿宋_GB2312"/>
          <w:kern w:val="0"/>
          <w:sz w:val="32"/>
          <w:szCs w:val="32"/>
        </w:rPr>
        <w:t>“十三五”时期，全市累计新增专利申请量、专利授权量、发明专利申请量、发明专利授权量、PCT国际专利申请量，分别达到24531件（</w:t>
      </w:r>
      <w:r>
        <w:rPr>
          <w:rFonts w:hint="eastAsia" w:ascii="楷体_GB2312" w:hAnsi="楷体_GB2312" w:eastAsia="楷体_GB2312" w:cs="楷体_GB2312"/>
          <w:kern w:val="0"/>
          <w:sz w:val="24"/>
        </w:rPr>
        <w:t>至2020年11月</w:t>
      </w:r>
      <w:r>
        <w:rPr>
          <w:rFonts w:hint="eastAsia" w:ascii="仿宋_GB2312" w:hAnsi="仿宋_GB2312" w:eastAsia="仿宋_GB2312" w:cs="仿宋_GB2312"/>
          <w:kern w:val="0"/>
          <w:sz w:val="32"/>
          <w:szCs w:val="32"/>
        </w:rPr>
        <w:t>）、14461件、5556件（</w:t>
      </w:r>
      <w:r>
        <w:rPr>
          <w:rFonts w:hint="eastAsia" w:ascii="楷体_GB2312" w:hAnsi="楷体_GB2312" w:eastAsia="楷体_GB2312" w:cs="楷体_GB2312"/>
          <w:kern w:val="0"/>
          <w:sz w:val="24"/>
        </w:rPr>
        <w:t>至2020年11月</w:t>
      </w:r>
      <w:r>
        <w:rPr>
          <w:rFonts w:hint="eastAsia" w:ascii="仿宋_GB2312" w:hAnsi="仿宋_GB2312" w:eastAsia="仿宋_GB2312" w:cs="仿宋_GB2312"/>
          <w:kern w:val="0"/>
          <w:sz w:val="32"/>
          <w:szCs w:val="32"/>
        </w:rPr>
        <w:t>）、886件和179件，年均增长分别为41.67%、38.60%、60.55%、23.22%和141.05%，累计商标有效注册量27044件，</w:t>
      </w:r>
      <w:r>
        <w:rPr>
          <w:rFonts w:hint="eastAsia" w:ascii="仿宋_GB2312" w:hAnsi="仿宋_GB2312" w:eastAsia="仿宋_GB2312" w:cs="仿宋_GB2312"/>
          <w:sz w:val="32"/>
          <w:szCs w:val="32"/>
        </w:rPr>
        <w:t>中国驰名商标12件，国家地理标志产品16个</w:t>
      </w:r>
      <w:r>
        <w:rPr>
          <w:rFonts w:hint="eastAsia" w:ascii="仿宋_GB2312" w:hAnsi="仿宋_GB2312" w:eastAsia="仿宋_GB2312" w:cs="仿宋_GB2312"/>
          <w:kern w:val="0"/>
          <w:sz w:val="32"/>
          <w:szCs w:val="32"/>
        </w:rPr>
        <w:t>，117个作品获得著作权《作品登记证书》，多项指标位居粤东西北前列。至2020年底，我市每万人口有效发明专利拥有量3.29件，职务发明获专利授权数较2016年增加3倍，个人获专利授权数较2016年翻了一倍。五年来，清远企业共荣获中国专利优秀奖6项、广东专利优秀奖2项，两个专利项目入选粤港澳高价值专利培育布局大赛百强；累计认定市知识产权优势企业50家，培育省知识产权优势企业12家、省知识产权示范企业19家、国家知识产权优势企业30家、国家知识产权示范企业1家，通过企业知识产权管理规范国家标准认证的企业累计149家。</w:t>
      </w:r>
    </w:p>
    <w:p>
      <w:pPr>
        <w:autoSpaceDE w:val="0"/>
        <w:autoSpaceDN w:val="0"/>
        <w:adjustRightIn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二是知识产权运用成效日益显著。</w:t>
      </w:r>
      <w:r>
        <w:rPr>
          <w:rFonts w:hint="eastAsia" w:ascii="仿宋_GB2312" w:hAnsi="仿宋_GB2312" w:eastAsia="仿宋_GB2312" w:cs="仿宋_GB2312"/>
          <w:kern w:val="0"/>
          <w:sz w:val="32"/>
          <w:szCs w:val="32"/>
        </w:rPr>
        <w:t>打造一批运用促进服务平台，引入华发七弦琴国家知识产权运营平台建立（清远）平台，设立“清远知识产权对接转化中心”对接高等院校优秀专利技术成果，实现企业自主专利转让许可费用逾5400万元。扶持一批本地优秀专利技术就地转化，累计扶持专利技术实施项目39项金额逾660万元，扶持项目产品新增销售金额逾23亿元。制定清远知识产权质押融资风险补偿办法，设立1000万元规模的风险补偿资金池，累计为企业贴息26.7万元，实现知识产权质押融资贷款逾1.8亿元，质押专利101件。促进地理标志保护产品专用标志、证明商标运用，英德红茶入选首批“中欧100+100”地理标志互认互保产品清单，协助举办“清远鸡”文化节、中国茶业经济年会暨英德红茶文化节、“电商节”等品牌推广活动，推动佛冈竹山粉葛、连山大米、阳山西洋菜、连州碳酸钙等15个产品申请集体商标或证明商标。</w:t>
      </w:r>
    </w:p>
    <w:p>
      <w:pPr>
        <w:autoSpaceDE w:val="0"/>
        <w:autoSpaceDN w:val="0"/>
        <w:adjustRightInd w:val="0"/>
        <w:spacing w:line="58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三是知识产权保护力度不断加大。</w:t>
      </w:r>
      <w:r>
        <w:rPr>
          <w:rFonts w:hint="eastAsia" w:ascii="仿宋_GB2312" w:hAnsi="仿宋_GB2312" w:eastAsia="仿宋_GB2312" w:cs="仿宋_GB2312"/>
          <w:kern w:val="0"/>
          <w:sz w:val="32"/>
          <w:szCs w:val="32"/>
        </w:rPr>
        <w:t>开展“雷霆”“护航”“剑网”“蓝天”等专项执法行动，五年来共立案处理专利侵权假冒案件67宗，商标侵权假冒案件402宗，查处各类版权侵权案件29宗，排查处理非正常专利申请615条，专利侵权纠纷结案率100%，重大专利侵权案件保持“零发生”。开展涉外涉展知识产权保护工作，对参加市外展会企业及市内重点展会开展展前侵权风险排查、展中巡查监管、展后侵权线索跟踪处理。建立多元化知识产权保护服务体系，成立市级知识产权维权援助中心，推动建立高新技术行业知识产权纠纷人民调解委员会，增设市、县两级行政调解工作站，在高新区、广清产业园设立知识产权维权援助工作站。加强“两法”衔接，联合检察、公安、文体等部门印发实施《关于加强侵犯知识产权案件行政执法与刑事司法衔接工作若干问题的意见》，与市中级人民法院签署《关于共建清远市知识产权侵权惩罚机制备忘录》。</w:t>
      </w:r>
    </w:p>
    <w:p>
      <w:pPr>
        <w:autoSpaceDE w:val="0"/>
        <w:autoSpaceDN w:val="0"/>
        <w:adjustRightInd w:val="0"/>
        <w:spacing w:line="58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四是知识产权服务能力明显增强。</w:t>
      </w:r>
      <w:r>
        <w:rPr>
          <w:rFonts w:hint="eastAsia" w:ascii="仿宋_GB2312" w:hAnsi="仿宋_GB2312" w:eastAsia="仿宋_GB2312" w:cs="仿宋_GB2312"/>
          <w:kern w:val="0"/>
          <w:sz w:val="32"/>
          <w:szCs w:val="32"/>
        </w:rPr>
        <w:t>加快建设清远知识产权公共服务平台、高新区知识产权综合服务平台等创新主体服务平台，在连南县设立“连南县知识产权服务中心”。设立覆盖8个县（市、区）商标品牌培育指导站。推动成立清远知识产权行业协会、清远市版权协会，引入专家咨询服务机制，组建知识产权专家队伍，大力培育和引进专利服务机构，共引进专利代理机构4家（分支），信息服务机构1家，在库专家110人，专利服务能力有效提升。</w:t>
      </w:r>
    </w:p>
    <w:p>
      <w:pPr>
        <w:autoSpaceDE w:val="0"/>
        <w:autoSpaceDN w:val="0"/>
        <w:adjustRightInd w:val="0"/>
        <w:spacing w:line="58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五是知识产权政策体系持续优化。</w:t>
      </w:r>
      <w:r>
        <w:rPr>
          <w:rFonts w:hint="eastAsia" w:ascii="仿宋_GB2312" w:hAnsi="仿宋_GB2312" w:eastAsia="仿宋_GB2312" w:cs="仿宋_GB2312"/>
          <w:sz w:val="32"/>
          <w:szCs w:val="32"/>
        </w:rPr>
        <w:t>结合试点城市工作要求，优化政策供给，新修制订一批知识产权政策，</w:t>
      </w:r>
      <w:r>
        <w:rPr>
          <w:rFonts w:hint="eastAsia" w:ascii="仿宋_GB2312" w:hAnsi="仿宋_GB2312" w:eastAsia="仿宋_GB2312" w:cs="仿宋_GB2312"/>
          <w:kern w:val="0"/>
          <w:sz w:val="32"/>
          <w:szCs w:val="32"/>
        </w:rPr>
        <w:t>深入落实《清远市贯彻落实&lt;广东省知识产权战略纲要（2007-2020年）&gt;实施方案》《清远市贯彻落实&lt;中共广东省委广东省人民政府关于加快建设知识产权强省的决定&gt;的实施意见》，印发实施《清远市激励科技创新十条政策》《清远市推进专利工作实施办法》《清远市科技成果获奖者资助方案》等政策文件，调整优化政策支撑体系。</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六是知识产权保护意识不断增强。</w:t>
      </w:r>
      <w:r>
        <w:rPr>
          <w:rFonts w:hint="eastAsia" w:ascii="仿宋_GB2312" w:hAnsi="仿宋_GB2312" w:eastAsia="仿宋_GB2312" w:cs="仿宋_GB2312"/>
          <w:sz w:val="32"/>
          <w:szCs w:val="32"/>
        </w:rPr>
        <w:t>通过组织专题培训、发动媒体宣传、深入企业指导、设立教育试点等方式，多渠道开展知识产权保护宣传教育，推动知识产权法律法规进园区、进工厂、进学校、进社区。我市获认定的市知识产权教育试点学校达到30家，共设立知识产权培训基地2个。2016年以来，共举办知识产权相关宣传培训活动逾100场，覆盖人数逾20万人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是2020年，面对突如其来的新冠肺炎疫情，全市知识产权部门坚决贯彻市委、市政府部署要求，闻令而动、主动作为、靠前服务，投身市场监管领域疫情防控阻击战，推动知识产权服务全市工作大局取得显著成效。落实《清远市推进专利工作实施办法》，兑现对创新主体的奖励及补助政策，引导和扶持企业开展疫情防控科技创新工作；组织开展知识产权质押融资需求调研和专项对接，以“市场运作、风险共担”形式，搭建市级知识产权质押融资风险补偿机制，鼓励金融机构把专利权、商标权质押纳入企业融资贷款范围，累计为中小微企业提供知识产权质押融资1.7亿元，有效缓解受疫情和延期复工影响企业的经营困难；对医护人员及疫情防控作品实施免费著作权登记；严厉打击疫情防控相关商标恶意注册申请行为，坚决惩治恶行、净化市场，维护公共利益，助力疫情防控；扎实做好“六稳”工作，落实“六保”任务，支持推动企业复工复产，护航经济稳中求进。</w:t>
      </w:r>
    </w:p>
    <w:p>
      <w:pPr>
        <w:autoSpaceDE w:val="0"/>
        <w:autoSpaceDN w:val="0"/>
        <w:adjustRightInd w:val="0"/>
        <w:spacing w:line="580" w:lineRule="exact"/>
        <w:ind w:firstLine="658"/>
        <w:outlineLvl w:val="1"/>
        <w:rPr>
          <w:rFonts w:ascii="楷体_GB2312" w:eastAsia="楷体_GB2312"/>
          <w:bCs/>
          <w:sz w:val="32"/>
          <w:szCs w:val="20"/>
        </w:rPr>
      </w:pPr>
      <w:bookmarkStart w:id="6" w:name="_Toc76458228"/>
      <w:r>
        <w:rPr>
          <w:rFonts w:ascii="楷体_GB2312" w:eastAsia="楷体_GB2312"/>
          <w:bCs/>
          <w:sz w:val="32"/>
          <w:szCs w:val="20"/>
        </w:rPr>
        <w:t>（二）存在问题</w:t>
      </w:r>
      <w:bookmarkEnd w:id="6"/>
    </w:p>
    <w:p>
      <w:pPr>
        <w:autoSpaceDE w:val="0"/>
        <w:autoSpaceDN w:val="0"/>
        <w:adjustRightInd w:val="0"/>
        <w:spacing w:line="580" w:lineRule="exact"/>
        <w:ind w:firstLine="660"/>
        <w:rPr>
          <w:rFonts w:eastAsia="仿宋_GB2312"/>
          <w:color w:val="000000"/>
          <w:sz w:val="32"/>
          <w:szCs w:val="20"/>
        </w:rPr>
      </w:pPr>
      <w:r>
        <w:rPr>
          <w:rFonts w:hint="eastAsia" w:eastAsia="仿宋_GB2312"/>
          <w:color w:val="000000"/>
          <w:sz w:val="32"/>
          <w:szCs w:val="20"/>
        </w:rPr>
        <w:t>同时，必须清醒地认识到，我市知识产权还存在一些薄弱环节和深层次问题，突出表现为：</w:t>
      </w:r>
    </w:p>
    <w:p>
      <w:pPr>
        <w:autoSpaceDE w:val="0"/>
        <w:autoSpaceDN w:val="0"/>
        <w:adjustRightInd w:val="0"/>
        <w:spacing w:line="580" w:lineRule="exact"/>
        <w:ind w:firstLine="660"/>
        <w:rPr>
          <w:rFonts w:eastAsia="仿宋_GB2312"/>
          <w:color w:val="000000"/>
          <w:sz w:val="32"/>
          <w:szCs w:val="20"/>
        </w:rPr>
      </w:pPr>
      <w:r>
        <w:rPr>
          <w:rFonts w:hint="eastAsia" w:eastAsia="仿宋_GB2312"/>
          <w:b/>
          <w:color w:val="000000"/>
          <w:sz w:val="32"/>
          <w:szCs w:val="20"/>
        </w:rPr>
        <w:t>一是知识产权管理体系有待健全。</w:t>
      </w:r>
      <w:r>
        <w:rPr>
          <w:rFonts w:hint="eastAsia" w:eastAsia="仿宋_GB2312"/>
          <w:color w:val="000000"/>
          <w:sz w:val="32"/>
          <w:szCs w:val="20"/>
        </w:rPr>
        <w:t>我市知识产权</w:t>
      </w:r>
      <w:r>
        <w:rPr>
          <w:rFonts w:hint="eastAsia" w:ascii="仿宋_GB2312" w:eastAsia="仿宋_GB2312" w:cs="宋体"/>
          <w:kern w:val="0"/>
          <w:sz w:val="32"/>
          <w:szCs w:val="32"/>
        </w:rPr>
        <w:t>工作涉及面广而跨部门协作水平不高，市县两级知识产权局及市维权援助中心等均以挂牌形式成立，配备人员、专业程度与专利事业快速发展需求不相适应，</w:t>
      </w:r>
      <w:r>
        <w:rPr>
          <w:rFonts w:hint="eastAsia" w:eastAsia="仿宋_GB2312"/>
          <w:color w:val="000000"/>
          <w:sz w:val="32"/>
          <w:szCs w:val="20"/>
        </w:rPr>
        <w:t>要改变当前知识产权行政管理部门之间工作配合度不高、知识产权行政管理机构设置与配置不健全的状况。</w:t>
      </w:r>
    </w:p>
    <w:p>
      <w:pPr>
        <w:autoSpaceDE w:val="0"/>
        <w:autoSpaceDN w:val="0"/>
        <w:adjustRightInd w:val="0"/>
        <w:spacing w:line="580" w:lineRule="exact"/>
        <w:ind w:firstLine="660"/>
        <w:rPr>
          <w:rFonts w:eastAsia="仿宋_GB2312"/>
          <w:color w:val="000000"/>
          <w:sz w:val="32"/>
          <w:szCs w:val="20"/>
        </w:rPr>
      </w:pPr>
      <w:r>
        <w:rPr>
          <w:rFonts w:hint="eastAsia" w:eastAsia="仿宋_GB2312"/>
          <w:b/>
          <w:color w:val="000000"/>
          <w:sz w:val="32"/>
          <w:szCs w:val="20"/>
        </w:rPr>
        <w:t>二是知识产权创造质量普遍不高。</w:t>
      </w:r>
      <w:r>
        <w:rPr>
          <w:rFonts w:hint="eastAsia" w:eastAsia="仿宋_GB2312"/>
          <w:color w:val="000000"/>
          <w:sz w:val="32"/>
          <w:szCs w:val="20"/>
        </w:rPr>
        <w:t>我市知识产权创造能力有待提高，具有自主知识产权的核心专利、知名品牌和技术标准不多，全市专利质量总体处于较低水平，要改变我市企业创造活力未能充分释放、缺少创新创造龙头企业、高价值知识产权明显不足的状况。</w:t>
      </w:r>
    </w:p>
    <w:p>
      <w:pPr>
        <w:autoSpaceDE w:val="0"/>
        <w:autoSpaceDN w:val="0"/>
        <w:adjustRightInd w:val="0"/>
        <w:spacing w:line="580" w:lineRule="exact"/>
        <w:ind w:firstLine="660"/>
        <w:rPr>
          <w:rFonts w:eastAsia="仿宋_GB2312"/>
          <w:color w:val="000000"/>
          <w:sz w:val="32"/>
          <w:szCs w:val="20"/>
        </w:rPr>
      </w:pPr>
      <w:r>
        <w:rPr>
          <w:rFonts w:hint="eastAsia" w:eastAsia="仿宋_GB2312"/>
          <w:b/>
          <w:color w:val="000000"/>
          <w:sz w:val="32"/>
          <w:szCs w:val="20"/>
        </w:rPr>
        <w:t>三是知识产权转化运用效益不高。</w:t>
      </w:r>
      <w:r>
        <w:rPr>
          <w:rFonts w:hint="eastAsia" w:eastAsia="仿宋_GB2312"/>
          <w:color w:val="000000"/>
          <w:sz w:val="32"/>
          <w:szCs w:val="20"/>
        </w:rPr>
        <w:t>我市知识产权运用能力有待加强，知识产权投融资、价值评估、运用转化等方面，缺乏相应资金支持，社会资本介入知识产权运用的程度还比较低，要改变我市知识产权综合运用成效低、存量知识产权闲置率高、知识产权的商业价值难以实现等状况。</w:t>
      </w:r>
    </w:p>
    <w:p>
      <w:pPr>
        <w:autoSpaceDE w:val="0"/>
        <w:autoSpaceDN w:val="0"/>
        <w:adjustRightInd w:val="0"/>
        <w:spacing w:line="580" w:lineRule="exact"/>
        <w:ind w:firstLine="660"/>
        <w:rPr>
          <w:rFonts w:eastAsia="仿宋_GB2312"/>
          <w:color w:val="000000"/>
          <w:sz w:val="32"/>
          <w:szCs w:val="20"/>
        </w:rPr>
      </w:pPr>
      <w:r>
        <w:rPr>
          <w:rFonts w:hint="eastAsia" w:eastAsia="仿宋_GB2312"/>
          <w:b/>
          <w:color w:val="000000"/>
          <w:sz w:val="32"/>
          <w:szCs w:val="20"/>
        </w:rPr>
        <w:t>四是知识产权保护效果有待改善。</w:t>
      </w:r>
      <w:r>
        <w:rPr>
          <w:rFonts w:eastAsia="仿宋_GB2312"/>
          <w:color w:val="000000"/>
          <w:sz w:val="32"/>
          <w:szCs w:val="20"/>
        </w:rPr>
        <w:t>我市</w:t>
      </w:r>
      <w:r>
        <w:rPr>
          <w:rFonts w:hint="eastAsia" w:eastAsia="仿宋_GB2312"/>
          <w:color w:val="000000"/>
          <w:sz w:val="32"/>
          <w:szCs w:val="20"/>
        </w:rPr>
        <w:t>知识产权保护存在执法力度不够、执法手段薄弱的现象，知识产权案件取证难、定性难、法律适用复杂的问题仍未有效解决，要改变侵权假冒行为的违法成本低、对侵犯知识产权行为的打击力度偏弱、新业态及新领域侵权假冒行为多发的状况。</w:t>
      </w:r>
    </w:p>
    <w:p>
      <w:pPr>
        <w:autoSpaceDE w:val="0"/>
        <w:autoSpaceDN w:val="0"/>
        <w:adjustRightInd w:val="0"/>
        <w:spacing w:line="580" w:lineRule="exact"/>
        <w:ind w:firstLine="660"/>
        <w:rPr>
          <w:rFonts w:eastAsia="仿宋_GB2312"/>
          <w:color w:val="000000"/>
          <w:sz w:val="32"/>
          <w:szCs w:val="20"/>
        </w:rPr>
      </w:pPr>
      <w:r>
        <w:rPr>
          <w:rFonts w:hint="eastAsia" w:eastAsia="仿宋_GB2312"/>
          <w:b/>
          <w:color w:val="000000"/>
          <w:sz w:val="32"/>
          <w:szCs w:val="20"/>
        </w:rPr>
        <w:t>五是知识产权服务能力亟待提升。</w:t>
      </w:r>
      <w:r>
        <w:rPr>
          <w:rFonts w:hint="eastAsia" w:eastAsia="仿宋_GB2312"/>
          <w:color w:val="000000"/>
          <w:sz w:val="32"/>
          <w:szCs w:val="20"/>
        </w:rPr>
        <w:t>我市现有专业服务机构数量较少、实力不强，且尚无专业的知识产权法律服务机构，难以满足不断攀升的企业专利纠纷或诉讼案件等维权需求，要改变我市知识产权服务业发展规模较小、高端服务能力不足以及知识产权价值评估难的状况。</w:t>
      </w:r>
    </w:p>
    <w:p>
      <w:pPr>
        <w:autoSpaceDE w:val="0"/>
        <w:autoSpaceDN w:val="0"/>
        <w:adjustRightInd w:val="0"/>
        <w:spacing w:line="580" w:lineRule="exact"/>
        <w:ind w:firstLine="658"/>
        <w:outlineLvl w:val="1"/>
        <w:rPr>
          <w:rFonts w:ascii="楷体_GB2312" w:eastAsia="楷体_GB2312"/>
          <w:bCs/>
          <w:sz w:val="32"/>
          <w:szCs w:val="20"/>
        </w:rPr>
      </w:pPr>
      <w:bookmarkStart w:id="7" w:name="_Toc54601131"/>
      <w:bookmarkStart w:id="8" w:name="_Toc76458229"/>
      <w:r>
        <w:rPr>
          <w:rFonts w:ascii="楷体_GB2312" w:eastAsia="楷体_GB2312"/>
          <w:bCs/>
          <w:sz w:val="32"/>
          <w:szCs w:val="20"/>
        </w:rPr>
        <w:t>（三）面临形势</w:t>
      </w:r>
      <w:bookmarkEnd w:id="7"/>
      <w:bookmarkEnd w:id="8"/>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未来我市推动知识产权事业发展需要把握一些新趋势，具体表现为：</w:t>
      </w:r>
      <w:bookmarkStart w:id="9" w:name="_Toc54601132"/>
    </w:p>
    <w:p>
      <w:pPr>
        <w:spacing w:line="580" w:lineRule="exact"/>
        <w:ind w:firstLine="643" w:firstLineChars="200"/>
        <w:rPr>
          <w:rFonts w:ascii="仿宋_GB2312" w:eastAsia="仿宋_GB2312" w:cs="仿宋_GB2312"/>
          <w:sz w:val="32"/>
          <w:szCs w:val="32"/>
        </w:rPr>
      </w:pPr>
      <w:r>
        <w:rPr>
          <w:rFonts w:ascii="楷体_GB2312" w:eastAsia="楷体_GB2312"/>
          <w:b/>
          <w:sz w:val="32"/>
          <w:szCs w:val="20"/>
        </w:rPr>
        <w:t>一是</w:t>
      </w:r>
      <w:bookmarkEnd w:id="9"/>
      <w:r>
        <w:rPr>
          <w:rFonts w:hint="eastAsia" w:ascii="仿宋_GB2312" w:eastAsia="仿宋_GB2312" w:cs="宋体"/>
          <w:b/>
          <w:kern w:val="0"/>
          <w:sz w:val="32"/>
          <w:szCs w:val="32"/>
        </w:rPr>
        <w:t>全球科技创新对知识产权保护诉求与日俱增。</w:t>
      </w:r>
      <w:r>
        <w:rPr>
          <w:rFonts w:hint="eastAsia" w:ascii="仿宋_GB2312" w:eastAsia="仿宋_GB2312" w:cs="仿宋_GB2312"/>
          <w:sz w:val="32"/>
          <w:szCs w:val="32"/>
        </w:rPr>
        <w:t>世界新一轮科技革命逐步进入群体迸发、多点突破阶段，知识产权成为增强自主创新的重要支撑、掌握发展主动权的关键因素，必须以全球眼光谋划推动我市知识产权事业发展，助力向产业价值链的高端化、高质化、高新化方向发展。</w:t>
      </w:r>
      <w:bookmarkStart w:id="10" w:name="_Toc54601139"/>
    </w:p>
    <w:p>
      <w:pPr>
        <w:spacing w:line="580" w:lineRule="exact"/>
        <w:ind w:firstLine="643" w:firstLineChars="200"/>
        <w:rPr>
          <w:rFonts w:ascii="仿宋_GB2312" w:eastAsia="仿宋_GB2312" w:cs="仿宋_GB2312"/>
          <w:sz w:val="32"/>
          <w:szCs w:val="32"/>
        </w:rPr>
      </w:pPr>
      <w:r>
        <w:rPr>
          <w:rFonts w:hint="eastAsia" w:ascii="仿宋_GB2312" w:eastAsia="仿宋_GB2312" w:cs="宋体"/>
          <w:b/>
          <w:kern w:val="0"/>
          <w:sz w:val="32"/>
          <w:szCs w:val="32"/>
        </w:rPr>
        <w:t>二是中国全面开启知识产权强国建设的新征程。</w:t>
      </w:r>
      <w:r>
        <w:rPr>
          <w:rFonts w:hint="eastAsia" w:ascii="仿宋_GB2312" w:eastAsia="仿宋_GB2312" w:cs="仿宋_GB2312"/>
          <w:sz w:val="32"/>
          <w:szCs w:val="32"/>
        </w:rPr>
        <w:t>党的十九大基于我国经济已由高速增长阶段转向高质量发展阶段的判断，而知识产权作为创新发展的第一动力、保障创新发展的基本制度，受到党和政府的空前重视，这些将对清远“十四五”知识产权事业的高质量发展提出新要求。</w:t>
      </w:r>
      <w:bookmarkEnd w:id="10"/>
      <w:bookmarkStart w:id="11" w:name="_Toc54601140"/>
    </w:p>
    <w:p>
      <w:pPr>
        <w:spacing w:line="580" w:lineRule="exact"/>
        <w:ind w:firstLine="643" w:firstLineChars="200"/>
        <w:rPr>
          <w:rFonts w:ascii="仿宋_GB2312" w:eastAsia="仿宋_GB2312" w:cs="仿宋_GB2312"/>
          <w:sz w:val="32"/>
          <w:szCs w:val="32"/>
        </w:rPr>
      </w:pPr>
      <w:r>
        <w:rPr>
          <w:rFonts w:hint="eastAsia" w:ascii="仿宋_GB2312" w:eastAsia="仿宋_GB2312" w:cs="宋体"/>
          <w:b/>
          <w:kern w:val="0"/>
          <w:sz w:val="32"/>
          <w:szCs w:val="32"/>
        </w:rPr>
        <w:t>三是新发展格局对知识产权工作提出更高要求。</w:t>
      </w:r>
      <w:bookmarkEnd w:id="11"/>
      <w:r>
        <w:rPr>
          <w:rFonts w:hint="eastAsia" w:ascii="仿宋_GB2312" w:eastAsia="仿宋_GB2312" w:cs="仿宋_GB2312"/>
          <w:sz w:val="32"/>
          <w:szCs w:val="32"/>
        </w:rPr>
        <w:t>构建以国内大循环为主体、国内国际双循环相互促进的新发展格局，必须强化企业知识产权创造、运用、保护主体地位，使产品的生产、分配、流通、消费更多依托国内市场，切实提高供给体系对国内需求的适配性，</w:t>
      </w:r>
      <w:r>
        <w:rPr>
          <w:rFonts w:hint="eastAsia" w:eastAsia="仿宋_GB2312"/>
          <w:sz w:val="32"/>
          <w:szCs w:val="20"/>
        </w:rPr>
        <w:t>为我市加快打造新发展格局的区域节点提供重要支撑。</w:t>
      </w:r>
    </w:p>
    <w:p>
      <w:pPr>
        <w:spacing w:line="580" w:lineRule="exact"/>
        <w:ind w:firstLine="643" w:firstLineChars="200"/>
        <w:rPr>
          <w:rFonts w:ascii="仿宋_GB2312" w:eastAsia="仿宋_GB2312"/>
          <w:sz w:val="32"/>
          <w:szCs w:val="32"/>
        </w:rPr>
      </w:pPr>
      <w:r>
        <w:rPr>
          <w:rFonts w:hint="eastAsia" w:ascii="仿宋_GB2312" w:eastAsia="仿宋_GB2312" w:cs="宋体"/>
          <w:b/>
          <w:kern w:val="0"/>
          <w:sz w:val="32"/>
          <w:szCs w:val="32"/>
        </w:rPr>
        <w:t>四是地理标志品牌成为农业现代化的重要抓手。</w:t>
      </w:r>
      <w:r>
        <w:rPr>
          <w:rFonts w:hint="eastAsia" w:ascii="仿宋_GB2312" w:eastAsia="仿宋_GB2312"/>
          <w:sz w:val="32"/>
          <w:szCs w:val="32"/>
        </w:rPr>
        <w:t>国务院启动实施地理标志农产品保护工程，地理标志产品跨国跨区域保护协作加速推进，地理标志产品发展成为加快现代农业转型升级重要途径，必须大力推进地理标志产品品牌建设</w:t>
      </w:r>
      <w:r>
        <w:rPr>
          <w:rFonts w:ascii="仿宋_GB2312" w:eastAsia="仿宋_GB2312"/>
          <w:sz w:val="32"/>
          <w:szCs w:val="32"/>
        </w:rPr>
        <w:t>，</w:t>
      </w:r>
      <w:r>
        <w:rPr>
          <w:rFonts w:hint="eastAsia" w:ascii="仿宋_GB2312" w:eastAsia="仿宋_GB2312"/>
          <w:sz w:val="32"/>
          <w:szCs w:val="32"/>
        </w:rPr>
        <w:t>提高地理标志产品品牌的名誉、声誉、信誉和影响力，助推我市推进农业农村现代化高质量发展。</w:t>
      </w:r>
    </w:p>
    <w:p>
      <w:pPr>
        <w:spacing w:line="580" w:lineRule="exact"/>
        <w:ind w:firstLine="643" w:firstLineChars="200"/>
        <w:rPr>
          <w:rFonts w:ascii="仿宋_GB2312" w:eastAsia="仿宋_GB2312" w:cs="仿宋_GB2312"/>
          <w:sz w:val="32"/>
          <w:szCs w:val="32"/>
        </w:rPr>
      </w:pPr>
      <w:r>
        <w:rPr>
          <w:rFonts w:hint="eastAsia" w:ascii="仿宋_GB2312" w:eastAsia="仿宋_GB2312" w:cs="宋体"/>
          <w:b/>
          <w:kern w:val="0"/>
          <w:sz w:val="32"/>
          <w:szCs w:val="32"/>
        </w:rPr>
        <w:t>五是粤港澳大湾区为知识产权发展提供新契机。</w:t>
      </w:r>
      <w:r>
        <w:rPr>
          <w:rFonts w:hint="eastAsia" w:ascii="仿宋_GB2312" w:eastAsia="仿宋_GB2312" w:cs="仿宋_GB2312"/>
          <w:sz w:val="32"/>
          <w:szCs w:val="32"/>
        </w:rPr>
        <w:t>粤港澳大湾区正加速一体化，提出要建立完善知识产权案件跨境协作机制，打造粤港澳大湾区知识产权服务高地，必须充分发挥我市紧邻粤港澳大湾区的区位优势，为我市加快“入珠融湾”、“广清一体化”建设夯实基础。</w:t>
      </w:r>
    </w:p>
    <w:p>
      <w:pPr>
        <w:spacing w:line="580" w:lineRule="exact"/>
        <w:ind w:firstLine="643" w:firstLineChars="200"/>
        <w:rPr>
          <w:rFonts w:ascii="黑体" w:hAnsi="黑体" w:eastAsia="黑体" w:cs="宋体"/>
          <w:kern w:val="0"/>
          <w:sz w:val="32"/>
          <w:szCs w:val="32"/>
        </w:rPr>
      </w:pPr>
      <w:r>
        <w:rPr>
          <w:rFonts w:hint="eastAsia" w:ascii="仿宋_GB2312" w:eastAsia="仿宋_GB2312" w:cs="宋体"/>
          <w:b/>
          <w:kern w:val="0"/>
          <w:sz w:val="32"/>
          <w:szCs w:val="32"/>
        </w:rPr>
        <w:t>六是知识产权成为清远实现跨越式发展的关键所在。</w:t>
      </w:r>
      <w:r>
        <w:rPr>
          <w:rFonts w:hint="eastAsia" w:ascii="仿宋_GB2312" w:eastAsia="仿宋_GB2312" w:cs="仿宋_GB2312"/>
          <w:sz w:val="32"/>
          <w:szCs w:val="32"/>
        </w:rPr>
        <w:t>清远正处于动力切换、再创优势的关键时期，面对着稳增长与淘汰落后产能、环保督查、节能降耗等两难、多难抉择，“十四五”推进我市经济社会转型发展已迫在眉睫，必须更高水平建设知识产权强市，</w:t>
      </w:r>
      <w:r>
        <w:rPr>
          <w:rFonts w:hint="eastAsia" w:ascii="Times New Roman" w:hAnsi="Times New Roman" w:eastAsia="仿宋_GB2312"/>
          <w:color w:val="000000"/>
          <w:sz w:val="32"/>
          <w:szCs w:val="32"/>
        </w:rPr>
        <w:t>为激发全社会创新活力提供有力支撑。</w:t>
      </w:r>
    </w:p>
    <w:p>
      <w:pPr>
        <w:autoSpaceDE w:val="0"/>
        <w:autoSpaceDN w:val="0"/>
        <w:adjustRightInd w:val="0"/>
        <w:spacing w:line="580" w:lineRule="exact"/>
        <w:ind w:firstLine="640" w:firstLineChars="200"/>
        <w:outlineLvl w:val="0"/>
        <w:rPr>
          <w:rFonts w:ascii="黑体" w:hAnsi="黑体" w:eastAsia="黑体" w:cs="宋体"/>
          <w:kern w:val="0"/>
          <w:sz w:val="32"/>
          <w:szCs w:val="32"/>
        </w:rPr>
      </w:pPr>
      <w:bookmarkStart w:id="12" w:name="_Toc76458230"/>
      <w:r>
        <w:rPr>
          <w:rFonts w:hint="eastAsia" w:ascii="黑体" w:hAnsi="黑体" w:eastAsia="黑体" w:cs="宋体"/>
          <w:kern w:val="0"/>
          <w:sz w:val="32"/>
          <w:szCs w:val="32"/>
        </w:rPr>
        <w:t>二、总体思路</w:t>
      </w:r>
      <w:bookmarkEnd w:id="12"/>
    </w:p>
    <w:p>
      <w:pPr>
        <w:autoSpaceDE w:val="0"/>
        <w:autoSpaceDN w:val="0"/>
        <w:adjustRightInd w:val="0"/>
        <w:spacing w:line="580" w:lineRule="exact"/>
        <w:ind w:firstLine="658"/>
        <w:outlineLvl w:val="1"/>
        <w:rPr>
          <w:rFonts w:ascii="楷体_GB2312" w:eastAsia="楷体_GB2312"/>
          <w:bCs/>
          <w:sz w:val="32"/>
          <w:szCs w:val="20"/>
        </w:rPr>
      </w:pPr>
      <w:bookmarkStart w:id="13" w:name="_Toc14962"/>
      <w:bookmarkStart w:id="14" w:name="_Toc76458231"/>
      <w:r>
        <w:rPr>
          <w:rFonts w:hint="eastAsia" w:ascii="楷体_GB2312" w:eastAsia="楷体_GB2312"/>
          <w:bCs/>
          <w:sz w:val="32"/>
          <w:szCs w:val="20"/>
        </w:rPr>
        <w:t>（一）指导思想</w:t>
      </w:r>
      <w:bookmarkEnd w:id="13"/>
      <w:bookmarkEnd w:id="14"/>
    </w:p>
    <w:p>
      <w:pPr>
        <w:autoSpaceDE w:val="0"/>
        <w:autoSpaceDN w:val="0"/>
        <w:adjustRightInd w:val="0"/>
        <w:spacing w:line="580" w:lineRule="exact"/>
        <w:ind w:firstLine="660"/>
        <w:rPr>
          <w:rFonts w:eastAsia="仿宋_GB2312"/>
          <w:sz w:val="32"/>
          <w:szCs w:val="20"/>
        </w:rPr>
      </w:pPr>
      <w:r>
        <w:rPr>
          <w:rFonts w:hint="eastAsia" w:eastAsia="仿宋_GB2312"/>
          <w:sz w:val="32"/>
          <w:szCs w:val="20"/>
        </w:rPr>
        <w:t>高举中国特色社会主义伟大旗帜，深入贯彻党的十九大和十九届二中、三中、四中、五中全会和省委十二届十二次全会精神，坚持以马克思列宁主义、毛泽东思想、邓小平理论、“三个代表”重要思想、科学发展观、习近平新时代中国特色社会主义思想为指导，全面贯彻党的基本理论、基本路线、基本方略，深入贯彻习近平总书记对广东系列重要讲话和重要指示批示精神，紧紧围绕市委、市政府关于知识产权工作的重要部署，深入实施知识产权战略，深化知识产权领域改革，以促进知识产权与经济社会深度融合为主线，加快推进知识产权强市强县建设，大力提升知识产权创造质量、运用效益、管理效能和服务水平，全面加强知识产权保护，持续深化知识产权交流合作，更好地支撑广清一体化建设和全面融入粤港澳大湾区，为我市奋力建设融湾崛起排头兵提供有力支撑。</w:t>
      </w:r>
    </w:p>
    <w:p>
      <w:pPr>
        <w:autoSpaceDE w:val="0"/>
        <w:autoSpaceDN w:val="0"/>
        <w:adjustRightInd w:val="0"/>
        <w:spacing w:line="580" w:lineRule="exact"/>
        <w:ind w:firstLine="658"/>
        <w:outlineLvl w:val="1"/>
        <w:rPr>
          <w:rFonts w:ascii="楷体_GB2312" w:eastAsia="楷体_GB2312"/>
          <w:bCs/>
          <w:sz w:val="32"/>
          <w:szCs w:val="20"/>
        </w:rPr>
      </w:pPr>
      <w:bookmarkStart w:id="15" w:name="_Toc76458232"/>
      <w:r>
        <w:rPr>
          <w:rFonts w:hint="eastAsia" w:ascii="楷体_GB2312" w:eastAsia="楷体_GB2312"/>
          <w:bCs/>
          <w:sz w:val="32"/>
          <w:szCs w:val="20"/>
        </w:rPr>
        <w:t>（二）基本原则</w:t>
      </w:r>
      <w:bookmarkEnd w:id="15"/>
    </w:p>
    <w:p>
      <w:pPr>
        <w:autoSpaceDE w:val="0"/>
        <w:autoSpaceDN w:val="0"/>
        <w:adjustRightInd w:val="0"/>
        <w:spacing w:line="580" w:lineRule="exact"/>
        <w:ind w:firstLine="660"/>
        <w:rPr>
          <w:rFonts w:eastAsia="仿宋_GB2312"/>
          <w:sz w:val="32"/>
          <w:szCs w:val="20"/>
        </w:rPr>
      </w:pPr>
      <w:r>
        <w:rPr>
          <w:rFonts w:ascii="Times New Roman" w:hAnsi="Times New Roman" w:eastAsia="仿宋_GB2312" w:cs="Times New Roman"/>
          <w:b/>
          <w:sz w:val="32"/>
          <w:szCs w:val="20"/>
        </w:rPr>
        <w:t>——</w:t>
      </w:r>
      <w:r>
        <w:rPr>
          <w:rFonts w:hint="eastAsia" w:eastAsia="仿宋_GB2312"/>
          <w:b/>
          <w:sz w:val="32"/>
          <w:szCs w:val="20"/>
        </w:rPr>
        <w:t>坚持党的领导。</w:t>
      </w:r>
      <w:r>
        <w:rPr>
          <w:rFonts w:hint="eastAsia" w:eastAsia="仿宋_GB2312"/>
          <w:sz w:val="32"/>
          <w:szCs w:val="20"/>
        </w:rPr>
        <w:t>坚持完善党领导知识产权领域的体制机制，充分发挥市知识产权战略实施工作联席会议制度作用，强化知识产权工作相关协调机制，将知识产权工作纳入地方党委政府日常重要工作议程，做好知识产权顶层设计，进一步完善制度、优化机制，努力实现知识产权领域治理体系和治理能力现代化。</w:t>
      </w:r>
    </w:p>
    <w:p>
      <w:pPr>
        <w:autoSpaceDE w:val="0"/>
        <w:autoSpaceDN w:val="0"/>
        <w:adjustRightInd w:val="0"/>
        <w:spacing w:line="580" w:lineRule="exact"/>
        <w:ind w:firstLine="658"/>
        <w:rPr>
          <w:rFonts w:eastAsia="仿宋_GB2312"/>
          <w:sz w:val="32"/>
          <w:szCs w:val="20"/>
        </w:rPr>
      </w:pPr>
      <w:r>
        <w:rPr>
          <w:rFonts w:ascii="Times New Roman" w:hAnsi="Times New Roman" w:eastAsia="仿宋_GB2312" w:cs="Times New Roman"/>
          <w:b/>
          <w:sz w:val="32"/>
          <w:szCs w:val="20"/>
        </w:rPr>
        <w:t>——</w:t>
      </w:r>
      <w:r>
        <w:rPr>
          <w:rFonts w:hint="eastAsia" w:eastAsia="仿宋_GB2312"/>
          <w:b/>
          <w:sz w:val="32"/>
          <w:szCs w:val="20"/>
        </w:rPr>
        <w:t>坚持改革创新。</w:t>
      </w:r>
      <w:r>
        <w:rPr>
          <w:rFonts w:hint="eastAsia" w:eastAsia="仿宋_GB2312"/>
          <w:sz w:val="32"/>
          <w:szCs w:val="20"/>
        </w:rPr>
        <w:t>全面深化知识产权领域改革，着力破除制约知识产权创造、运用、保护、管理和服务的体制机制障碍，探索知识产权工作新理念和新模式，厚植知识产权发展新优势，培育经济发展新动能。</w:t>
      </w:r>
    </w:p>
    <w:p>
      <w:pPr>
        <w:autoSpaceDE w:val="0"/>
        <w:autoSpaceDN w:val="0"/>
        <w:adjustRightInd w:val="0"/>
        <w:spacing w:line="580" w:lineRule="exact"/>
        <w:ind w:firstLine="658"/>
        <w:rPr>
          <w:rFonts w:eastAsia="仿宋_GB2312"/>
          <w:sz w:val="32"/>
          <w:szCs w:val="20"/>
        </w:rPr>
      </w:pPr>
      <w:r>
        <w:rPr>
          <w:rFonts w:ascii="Times New Roman" w:hAnsi="Times New Roman" w:eastAsia="仿宋_GB2312" w:cs="Times New Roman"/>
          <w:b/>
          <w:sz w:val="32"/>
          <w:szCs w:val="20"/>
        </w:rPr>
        <w:t>——</w:t>
      </w:r>
      <w:r>
        <w:rPr>
          <w:rFonts w:hint="eastAsia" w:eastAsia="仿宋_GB2312"/>
          <w:b/>
          <w:sz w:val="32"/>
          <w:szCs w:val="20"/>
        </w:rPr>
        <w:t>突出质量引领。</w:t>
      </w:r>
      <w:r>
        <w:rPr>
          <w:rFonts w:hint="eastAsia" w:eastAsia="仿宋_GB2312"/>
          <w:sz w:val="32"/>
          <w:szCs w:val="20"/>
        </w:rPr>
        <w:t>突出知识产权高质量发展导向，培育高价值专利，鼓励更多资源向高价值知识产权倾斜，加强关键领域自主知识产权创造和储备，推动供给体系质量有效提升；实施商标战略推进工程，实现知识产权高水平创造，积极抢占经济科技发展制高点。</w:t>
      </w:r>
    </w:p>
    <w:p>
      <w:pPr>
        <w:autoSpaceDE w:val="0"/>
        <w:autoSpaceDN w:val="0"/>
        <w:adjustRightInd w:val="0"/>
        <w:spacing w:line="580" w:lineRule="exact"/>
        <w:ind w:firstLine="658"/>
        <w:rPr>
          <w:rFonts w:eastAsia="仿宋_GB2312"/>
          <w:sz w:val="32"/>
          <w:szCs w:val="20"/>
        </w:rPr>
      </w:pPr>
      <w:r>
        <w:rPr>
          <w:rFonts w:ascii="Times New Roman" w:hAnsi="Times New Roman" w:eastAsia="仿宋_GB2312" w:cs="Times New Roman"/>
          <w:b/>
          <w:sz w:val="32"/>
          <w:szCs w:val="20"/>
        </w:rPr>
        <w:t>——</w:t>
      </w:r>
      <w:r>
        <w:rPr>
          <w:rFonts w:hint="eastAsia" w:eastAsia="仿宋_GB2312"/>
          <w:b/>
          <w:sz w:val="32"/>
          <w:szCs w:val="20"/>
        </w:rPr>
        <w:t>聚焦产业发展。</w:t>
      </w:r>
      <w:r>
        <w:rPr>
          <w:rFonts w:hint="eastAsia" w:eastAsia="仿宋_GB2312"/>
          <w:sz w:val="32"/>
          <w:szCs w:val="20"/>
        </w:rPr>
        <w:t>聚焦支柱产业做优做强、优势产业升级改造，新兴产业培育发展等战略需求，坚持知识产权与产业经济深度融合，实施专利导航工程，促进知识产权成果转化运用，推动清远产业向价值链高端攀升。</w:t>
      </w:r>
    </w:p>
    <w:p>
      <w:pPr>
        <w:autoSpaceDE w:val="0"/>
        <w:autoSpaceDN w:val="0"/>
        <w:adjustRightInd w:val="0"/>
        <w:spacing w:line="580" w:lineRule="exact"/>
        <w:ind w:firstLine="658"/>
        <w:rPr>
          <w:rFonts w:eastAsia="仿宋_GB2312"/>
          <w:sz w:val="32"/>
          <w:szCs w:val="20"/>
        </w:rPr>
      </w:pPr>
      <w:r>
        <w:rPr>
          <w:rFonts w:ascii="Times New Roman" w:hAnsi="Times New Roman" w:eastAsia="仿宋_GB2312" w:cs="Times New Roman"/>
          <w:b/>
          <w:sz w:val="32"/>
          <w:szCs w:val="20"/>
        </w:rPr>
        <w:t>——</w:t>
      </w:r>
      <w:r>
        <w:rPr>
          <w:rFonts w:hint="eastAsia" w:ascii="Times New Roman" w:hAnsi="Times New Roman" w:eastAsia="仿宋_GB2312" w:cs="Times New Roman"/>
          <w:b/>
          <w:sz w:val="32"/>
          <w:szCs w:val="20"/>
        </w:rPr>
        <w:t>体现清远特色。</w:t>
      </w:r>
      <w:r>
        <w:rPr>
          <w:rFonts w:hint="eastAsia" w:eastAsia="仿宋_GB2312"/>
          <w:sz w:val="32"/>
          <w:szCs w:val="20"/>
        </w:rPr>
        <w:t>重点围绕建设国家知识产权试点城市、培育国家知识产权试点示范园区等方面，结合清远实际，找准突破口，先行先试，创造清远经验，打造清远经济社会发展新引擎，引领知识产权事业全面创新发展。</w:t>
      </w:r>
    </w:p>
    <w:p>
      <w:pPr>
        <w:autoSpaceDE w:val="0"/>
        <w:autoSpaceDN w:val="0"/>
        <w:adjustRightInd w:val="0"/>
        <w:spacing w:line="580" w:lineRule="exact"/>
        <w:ind w:firstLine="658"/>
        <w:outlineLvl w:val="1"/>
        <w:rPr>
          <w:rFonts w:ascii="楷体_GB2312" w:eastAsia="楷体_GB2312"/>
          <w:bCs/>
          <w:sz w:val="32"/>
          <w:szCs w:val="20"/>
        </w:rPr>
      </w:pPr>
      <w:bookmarkStart w:id="16" w:name="_Toc76458233"/>
      <w:r>
        <w:rPr>
          <w:rFonts w:hint="eastAsia" w:ascii="楷体_GB2312" w:eastAsia="楷体_GB2312"/>
          <w:bCs/>
          <w:sz w:val="32"/>
          <w:szCs w:val="20"/>
        </w:rPr>
        <w:t>（三）发展目标</w:t>
      </w:r>
      <w:bookmarkEnd w:id="16"/>
    </w:p>
    <w:p>
      <w:pPr>
        <w:autoSpaceDE w:val="0"/>
        <w:autoSpaceDN w:val="0"/>
        <w:adjustRightInd w:val="0"/>
        <w:spacing w:line="580" w:lineRule="exact"/>
        <w:ind w:firstLine="66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展望2035年，知识产权强市强县建设取得决定性重大成就，知识产权领域治理体系和治理能力建设上新水平，创新主体合法权益得到有效保护，知识产权创造质量和运用效益显著提升，创新要素集聚、转化运用流畅、保护制度完善、服务体系健全、高端人才汇聚的知识产权强市基本建成，知识产权对全市经济高质量发展支撑作用充分彰显。</w:t>
      </w:r>
    </w:p>
    <w:p>
      <w:pPr>
        <w:autoSpaceDE w:val="0"/>
        <w:autoSpaceDN w:val="0"/>
        <w:adjustRightInd w:val="0"/>
        <w:spacing w:line="580" w:lineRule="exact"/>
        <w:ind w:firstLine="66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锚定2035年远景目标，到20</w:t>
      </w:r>
      <w:r>
        <w:rPr>
          <w:rFonts w:ascii="Times New Roman" w:hAnsi="Times New Roman" w:eastAsia="仿宋_GB2312" w:cs="Times New Roman"/>
          <w:sz w:val="32"/>
          <w:szCs w:val="20"/>
        </w:rPr>
        <w:t>25</w:t>
      </w:r>
      <w:r>
        <w:rPr>
          <w:rFonts w:hint="eastAsia" w:ascii="Times New Roman" w:hAnsi="Times New Roman" w:eastAsia="仿宋_GB2312" w:cs="Times New Roman"/>
          <w:sz w:val="32"/>
          <w:szCs w:val="20"/>
        </w:rPr>
        <w:t>年，基本实现知识产权创造活跃、运用高效、保护严格、管理科学、服务优良、人才集聚，知识产权与清远产业、科技、金融发展深度融合，知识产权对清远经济、社会、科技创新发展的支撑作用充分显现，清远知识产权工作继续走在粤东西北前列。</w:t>
      </w:r>
    </w:p>
    <w:p>
      <w:pPr>
        <w:autoSpaceDE w:val="0"/>
        <w:autoSpaceDN w:val="0"/>
        <w:adjustRightInd w:val="0"/>
        <w:spacing w:line="580" w:lineRule="exact"/>
        <w:ind w:firstLine="660"/>
        <w:rPr>
          <w:rFonts w:ascii="Times New Roman" w:hAnsi="Times New Roman" w:eastAsia="仿宋_GB2312" w:cs="Times New Roman"/>
          <w:sz w:val="32"/>
          <w:szCs w:val="20"/>
        </w:rPr>
      </w:pPr>
      <w:r>
        <w:rPr>
          <w:rFonts w:ascii="Times New Roman" w:hAnsi="Times New Roman" w:eastAsia="仿宋_GB2312" w:cs="Times New Roman"/>
          <w:b/>
          <w:sz w:val="32"/>
          <w:szCs w:val="20"/>
        </w:rPr>
        <w:t>——</w:t>
      </w:r>
      <w:r>
        <w:rPr>
          <w:rFonts w:hint="eastAsia" w:ascii="Times New Roman" w:hAnsi="Times New Roman" w:eastAsia="仿宋_GB2312" w:cs="Times New Roman"/>
          <w:b/>
          <w:sz w:val="32"/>
          <w:szCs w:val="20"/>
        </w:rPr>
        <w:t>知识产权创造质量更优。</w:t>
      </w:r>
      <w:r>
        <w:rPr>
          <w:rFonts w:hint="eastAsia" w:ascii="Times New Roman" w:hAnsi="Times New Roman" w:eastAsia="仿宋_GB2312" w:cs="Times New Roman"/>
          <w:sz w:val="32"/>
          <w:szCs w:val="20"/>
        </w:rPr>
        <w:t>到202</w:t>
      </w:r>
      <w:r>
        <w:rPr>
          <w:rFonts w:ascii="Times New Roman" w:hAnsi="Times New Roman" w:eastAsia="仿宋_GB2312" w:cs="Times New Roman"/>
          <w:sz w:val="32"/>
          <w:szCs w:val="20"/>
        </w:rPr>
        <w:t>5</w:t>
      </w:r>
      <w:r>
        <w:rPr>
          <w:rFonts w:hint="eastAsia" w:ascii="Times New Roman" w:hAnsi="Times New Roman" w:eastAsia="仿宋_GB2312" w:cs="Times New Roman"/>
          <w:sz w:val="32"/>
          <w:szCs w:val="20"/>
        </w:rPr>
        <w:t>年，全市每万人口高价值发明专利拥有量、每万市场主体高价值商标拥有量等明显增长，发明专利授权量、PCT专利申请量、</w:t>
      </w:r>
      <w:r>
        <w:rPr>
          <w:rFonts w:hint="eastAsia" w:ascii="仿宋_GB2312" w:hAnsi="Times New Roman" w:eastAsia="仿宋_GB2312" w:cs="Times New Roman"/>
          <w:color w:val="000000"/>
          <w:kern w:val="0"/>
          <w:sz w:val="32"/>
          <w:szCs w:val="32"/>
        </w:rPr>
        <w:t>国家级和省级版权兴业示范园区、</w:t>
      </w:r>
      <w:r>
        <w:rPr>
          <w:rFonts w:hint="eastAsia" w:ascii="Times New Roman" w:hAnsi="Times New Roman" w:eastAsia="仿宋_GB2312" w:cs="Times New Roman"/>
          <w:sz w:val="32"/>
          <w:szCs w:val="20"/>
        </w:rPr>
        <w:t>地理标志保护产品及地理标志商标量等重点指标继续保持粤东西北领先地位。</w:t>
      </w:r>
    </w:p>
    <w:p>
      <w:pPr>
        <w:autoSpaceDE w:val="0"/>
        <w:autoSpaceDN w:val="0"/>
        <w:adjustRightInd w:val="0"/>
        <w:spacing w:line="580" w:lineRule="exact"/>
        <w:ind w:firstLine="660"/>
        <w:rPr>
          <w:rFonts w:ascii="Times New Roman" w:hAnsi="Times New Roman" w:eastAsia="仿宋_GB2312" w:cs="Times New Roman"/>
          <w:sz w:val="32"/>
          <w:szCs w:val="20"/>
        </w:rPr>
      </w:pPr>
      <w:r>
        <w:rPr>
          <w:rFonts w:ascii="Times New Roman" w:hAnsi="Times New Roman" w:eastAsia="仿宋_GB2312" w:cs="Times New Roman"/>
          <w:b/>
          <w:sz w:val="32"/>
          <w:szCs w:val="20"/>
        </w:rPr>
        <w:t>——</w:t>
      </w:r>
      <w:r>
        <w:rPr>
          <w:rFonts w:hint="eastAsia" w:ascii="Times New Roman" w:hAnsi="Times New Roman" w:eastAsia="仿宋_GB2312" w:cs="Times New Roman"/>
          <w:b/>
          <w:sz w:val="32"/>
          <w:szCs w:val="20"/>
        </w:rPr>
        <w:t>知识产权运用水平有效提升。</w:t>
      </w:r>
      <w:r>
        <w:rPr>
          <w:rFonts w:hint="eastAsia" w:ascii="Times New Roman" w:hAnsi="Times New Roman" w:eastAsia="仿宋_GB2312" w:cs="Times New Roman"/>
          <w:sz w:val="32"/>
          <w:szCs w:val="20"/>
        </w:rPr>
        <w:t>到202</w:t>
      </w:r>
      <w:r>
        <w:rPr>
          <w:rFonts w:ascii="Times New Roman" w:hAnsi="Times New Roman" w:eastAsia="仿宋_GB2312" w:cs="Times New Roman"/>
          <w:sz w:val="32"/>
          <w:szCs w:val="20"/>
        </w:rPr>
        <w:t>5</w:t>
      </w:r>
      <w:r>
        <w:rPr>
          <w:rFonts w:hint="eastAsia" w:ascii="Times New Roman" w:hAnsi="Times New Roman" w:eastAsia="仿宋_GB2312" w:cs="Times New Roman"/>
          <w:sz w:val="32"/>
          <w:szCs w:val="20"/>
        </w:rPr>
        <w:t>年，全市知识产权质押融资金额与项目数、知识产权和技术合同交易额、国家知识产权优势示范企业数量等实现新突破。</w:t>
      </w:r>
    </w:p>
    <w:p>
      <w:pPr>
        <w:autoSpaceDE w:val="0"/>
        <w:autoSpaceDN w:val="0"/>
        <w:adjustRightInd w:val="0"/>
        <w:spacing w:line="580" w:lineRule="exact"/>
        <w:ind w:firstLine="660"/>
        <w:rPr>
          <w:rFonts w:ascii="Times New Roman" w:hAnsi="Times New Roman" w:eastAsia="仿宋_GB2312" w:cs="Times New Roman"/>
          <w:sz w:val="32"/>
          <w:szCs w:val="20"/>
          <w:highlight w:val="yellow"/>
        </w:rPr>
      </w:pPr>
      <w:r>
        <w:rPr>
          <w:rFonts w:ascii="Times New Roman" w:hAnsi="Times New Roman" w:eastAsia="仿宋_GB2312" w:cs="Times New Roman"/>
          <w:b/>
          <w:sz w:val="32"/>
          <w:szCs w:val="20"/>
        </w:rPr>
        <w:t>——</w:t>
      </w:r>
      <w:r>
        <w:rPr>
          <w:rFonts w:hint="eastAsia" w:ascii="Times New Roman" w:hAnsi="Times New Roman" w:eastAsia="仿宋_GB2312" w:cs="Times New Roman"/>
          <w:b/>
          <w:sz w:val="32"/>
          <w:szCs w:val="20"/>
        </w:rPr>
        <w:t>知识产权保护更加严格。</w:t>
      </w:r>
      <w:r>
        <w:rPr>
          <w:rFonts w:hint="eastAsia" w:ascii="Times New Roman" w:hAnsi="Times New Roman" w:eastAsia="仿宋_GB2312" w:cs="Times New Roman"/>
          <w:sz w:val="32"/>
          <w:szCs w:val="20"/>
        </w:rPr>
        <w:t>到202</w:t>
      </w:r>
      <w:r>
        <w:rPr>
          <w:rFonts w:ascii="Times New Roman" w:hAnsi="Times New Roman" w:eastAsia="仿宋_GB2312" w:cs="Times New Roman"/>
          <w:sz w:val="32"/>
          <w:szCs w:val="20"/>
        </w:rPr>
        <w:t>5</w:t>
      </w:r>
      <w:r>
        <w:rPr>
          <w:rFonts w:hint="eastAsia" w:ascii="Times New Roman" w:hAnsi="Times New Roman" w:eastAsia="仿宋_GB2312" w:cs="Times New Roman"/>
          <w:sz w:val="32"/>
          <w:szCs w:val="20"/>
        </w:rPr>
        <w:t>年，全市知识产权行政执法、司法案件办理质量明显提升、各类知识产权</w:t>
      </w:r>
      <w:r>
        <w:rPr>
          <w:rFonts w:hint="eastAsia" w:ascii="仿宋_GB2312" w:hAnsi="Times New Roman" w:eastAsia="仿宋_GB2312" w:cs="Times New Roman"/>
          <w:color w:val="000000"/>
          <w:kern w:val="0"/>
          <w:sz w:val="32"/>
          <w:szCs w:val="32"/>
        </w:rPr>
        <w:t>保护更加严格，</w:t>
      </w:r>
      <w:r>
        <w:rPr>
          <w:rFonts w:hint="eastAsia" w:ascii="Times New Roman" w:hAnsi="Times New Roman" w:eastAsia="仿宋_GB2312" w:cs="Times New Roman"/>
          <w:sz w:val="32"/>
          <w:szCs w:val="20"/>
        </w:rPr>
        <w:t>专利、商标、版权纠纷案件结案率、司法案件执行率和结案率实现较快提升。</w:t>
      </w:r>
    </w:p>
    <w:p>
      <w:pPr>
        <w:autoSpaceDE w:val="0"/>
        <w:autoSpaceDN w:val="0"/>
        <w:adjustRightInd w:val="0"/>
        <w:spacing w:line="580" w:lineRule="exact"/>
        <w:ind w:firstLine="660"/>
        <w:rPr>
          <w:rFonts w:eastAsia="仿宋_GB2312"/>
          <w:sz w:val="32"/>
          <w:szCs w:val="20"/>
        </w:rPr>
      </w:pPr>
      <w:r>
        <w:rPr>
          <w:rFonts w:ascii="Times New Roman" w:hAnsi="Times New Roman" w:eastAsia="仿宋_GB2312" w:cs="Times New Roman"/>
          <w:b/>
          <w:sz w:val="32"/>
          <w:szCs w:val="20"/>
        </w:rPr>
        <w:t>——</w:t>
      </w:r>
      <w:r>
        <w:rPr>
          <w:rFonts w:hint="eastAsia" w:ascii="Times New Roman" w:hAnsi="Times New Roman" w:eastAsia="仿宋_GB2312" w:cs="Times New Roman"/>
          <w:b/>
          <w:sz w:val="32"/>
          <w:szCs w:val="20"/>
        </w:rPr>
        <w:t>知识产权服务体系更趋完备。</w:t>
      </w:r>
      <w:r>
        <w:rPr>
          <w:rFonts w:hint="eastAsia" w:ascii="Times New Roman" w:hAnsi="Times New Roman" w:eastAsia="仿宋_GB2312" w:cs="Times New Roman"/>
          <w:sz w:val="32"/>
          <w:szCs w:val="20"/>
        </w:rPr>
        <w:t>到202</w:t>
      </w:r>
      <w:r>
        <w:rPr>
          <w:rFonts w:ascii="Times New Roman" w:hAnsi="Times New Roman" w:eastAsia="仿宋_GB2312" w:cs="Times New Roman"/>
          <w:sz w:val="32"/>
          <w:szCs w:val="20"/>
        </w:rPr>
        <w:t>5</w:t>
      </w:r>
      <w:r>
        <w:rPr>
          <w:rFonts w:hint="eastAsia" w:ascii="Times New Roman" w:hAnsi="Times New Roman" w:eastAsia="仿宋_GB2312" w:cs="Times New Roman"/>
          <w:sz w:val="32"/>
          <w:szCs w:val="20"/>
        </w:rPr>
        <w:t>年，全市知识产权信息公共服务网站、知识产权信息公共服务节点及网点建设再上新台阶，新建一批</w:t>
      </w:r>
      <w:r>
        <w:rPr>
          <w:rFonts w:hint="eastAsia" w:ascii="仿宋_GB2312" w:hAnsi="Times New Roman" w:eastAsia="仿宋_GB2312" w:cs="Times New Roman"/>
          <w:color w:val="000000"/>
          <w:kern w:val="0"/>
          <w:sz w:val="32"/>
          <w:szCs w:val="32"/>
        </w:rPr>
        <w:t>基层服务站点，</w:t>
      </w:r>
      <w:r>
        <w:rPr>
          <w:rFonts w:hint="eastAsia" w:ascii="Times New Roman" w:hAnsi="Times New Roman" w:eastAsia="仿宋_GB2312" w:cs="Times New Roman"/>
          <w:sz w:val="32"/>
          <w:szCs w:val="20"/>
        </w:rPr>
        <w:t>着力培育和引进一批专利代理师和商标代理从业人员。</w:t>
      </w:r>
    </w:p>
    <w:tbl>
      <w:tblPr>
        <w:tblStyle w:val="25"/>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48"/>
        <w:gridCol w:w="3457"/>
        <w:gridCol w:w="861"/>
        <w:gridCol w:w="883"/>
        <w:gridCol w:w="1157"/>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8799" w:type="dxa"/>
            <w:gridSpan w:val="7"/>
            <w:tcBorders>
              <w:bottom w:val="single" w:color="auto" w:sz="4" w:space="0"/>
              <w:tl2br w:val="nil"/>
            </w:tcBorders>
            <w:shd w:val="clear" w:color="auto" w:fill="33CCCC"/>
            <w:vAlign w:val="center"/>
          </w:tcPr>
          <w:p>
            <w:pPr>
              <w:autoSpaceDN w:val="0"/>
              <w:snapToGrid w:val="0"/>
              <w:jc w:val="center"/>
              <w:rPr>
                <w:rFonts w:ascii="黑体" w:hAnsi="黑体" w:eastAsia="黑体"/>
                <w:bCs/>
                <w:kern w:val="0"/>
                <w:sz w:val="28"/>
                <w:szCs w:val="28"/>
              </w:rPr>
            </w:pPr>
            <w:r>
              <w:rPr>
                <w:rFonts w:hint="eastAsia" w:ascii="黑体" w:hAnsi="黑体" w:eastAsia="黑体"/>
                <w:bCs/>
                <w:kern w:val="0"/>
                <w:sz w:val="28"/>
                <w:szCs w:val="28"/>
              </w:rPr>
              <w:t>专栏</w:t>
            </w:r>
            <w:r>
              <w:rPr>
                <w:rFonts w:ascii="黑体" w:hAnsi="黑体" w:eastAsia="黑体"/>
                <w:bCs/>
                <w:kern w:val="0"/>
                <w:sz w:val="28"/>
                <w:szCs w:val="28"/>
              </w:rPr>
              <w:t>1</w:t>
            </w:r>
            <w:r>
              <w:rPr>
                <w:rFonts w:hint="eastAsia" w:ascii="黑体" w:hAnsi="黑体" w:eastAsia="黑体"/>
                <w:bCs/>
                <w:kern w:val="0"/>
                <w:sz w:val="28"/>
                <w:szCs w:val="28"/>
              </w:rPr>
              <w:t xml:space="preserve"> “十四五”时期清远市知识产权发展主要指标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710" w:type="dxa"/>
            <w:vMerge w:val="restart"/>
            <w:tcBorders>
              <w:tl2br w:val="nil"/>
            </w:tcBorders>
            <w:shd w:val="clear" w:color="auto" w:fill="FFFFFF"/>
            <w:vAlign w:val="center"/>
          </w:tcPr>
          <w:p>
            <w:pPr>
              <w:autoSpaceDN w:val="0"/>
              <w:snapToGrid w:val="0"/>
              <w:jc w:val="center"/>
              <w:rPr>
                <w:rFonts w:ascii="楷体_GB2312" w:hAnsi="宋体" w:eastAsia="楷体_GB2312"/>
                <w:b/>
                <w:bCs/>
                <w:kern w:val="0"/>
                <w:szCs w:val="21"/>
              </w:rPr>
            </w:pPr>
            <w:r>
              <w:rPr>
                <w:rFonts w:hint="eastAsia" w:ascii="楷体_GB2312" w:hAnsi="宋体" w:eastAsia="楷体_GB2312"/>
                <w:b/>
                <w:bCs/>
                <w:kern w:val="0"/>
                <w:szCs w:val="21"/>
              </w:rPr>
              <w:t>序号</w:t>
            </w:r>
          </w:p>
        </w:tc>
        <w:tc>
          <w:tcPr>
            <w:tcW w:w="848" w:type="dxa"/>
            <w:vMerge w:val="restart"/>
            <w:tcBorders>
              <w:tl2br w:val="nil"/>
            </w:tcBorders>
            <w:shd w:val="clear" w:color="auto" w:fill="FFFFFF"/>
            <w:vAlign w:val="center"/>
          </w:tcPr>
          <w:p>
            <w:pPr>
              <w:autoSpaceDN w:val="0"/>
              <w:snapToGrid w:val="0"/>
              <w:jc w:val="center"/>
              <w:rPr>
                <w:rFonts w:ascii="楷体_GB2312" w:hAnsi="宋体" w:eastAsia="楷体_GB2312"/>
                <w:b/>
                <w:bCs/>
                <w:kern w:val="0"/>
                <w:szCs w:val="21"/>
              </w:rPr>
            </w:pPr>
            <w:r>
              <w:rPr>
                <w:rFonts w:hint="eastAsia" w:ascii="楷体_GB2312" w:hAnsi="宋体" w:eastAsia="楷体_GB2312"/>
                <w:b/>
                <w:bCs/>
                <w:kern w:val="0"/>
                <w:szCs w:val="21"/>
              </w:rPr>
              <w:t>类别</w:t>
            </w:r>
          </w:p>
        </w:tc>
        <w:tc>
          <w:tcPr>
            <w:tcW w:w="3457" w:type="dxa"/>
            <w:vMerge w:val="restart"/>
            <w:tcBorders>
              <w:tl2br w:val="nil"/>
            </w:tcBorders>
            <w:shd w:val="clear" w:color="auto" w:fill="FFFFFF"/>
            <w:vAlign w:val="center"/>
          </w:tcPr>
          <w:p>
            <w:pPr>
              <w:autoSpaceDN w:val="0"/>
              <w:snapToGrid w:val="0"/>
              <w:jc w:val="center"/>
              <w:rPr>
                <w:rFonts w:ascii="楷体_GB2312" w:hAnsi="宋体" w:eastAsia="楷体_GB2312"/>
                <w:b/>
                <w:bCs/>
                <w:kern w:val="0"/>
                <w:szCs w:val="21"/>
              </w:rPr>
            </w:pPr>
            <w:r>
              <w:rPr>
                <w:rFonts w:hint="eastAsia" w:ascii="楷体_GB2312" w:hAnsi="宋体" w:eastAsia="楷体_GB2312"/>
                <w:b/>
                <w:bCs/>
                <w:kern w:val="0"/>
                <w:szCs w:val="21"/>
              </w:rPr>
              <w:t>主要指标</w:t>
            </w:r>
          </w:p>
        </w:tc>
        <w:tc>
          <w:tcPr>
            <w:tcW w:w="861" w:type="dxa"/>
            <w:vMerge w:val="restart"/>
            <w:shd w:val="clear" w:color="auto" w:fill="FFFFFF"/>
            <w:vAlign w:val="center"/>
          </w:tcPr>
          <w:p>
            <w:pPr>
              <w:autoSpaceDN w:val="0"/>
              <w:snapToGrid w:val="0"/>
              <w:jc w:val="center"/>
              <w:rPr>
                <w:rFonts w:ascii="楷体_GB2312" w:hAnsi="宋体" w:eastAsia="楷体_GB2312"/>
                <w:b/>
                <w:bCs/>
                <w:kern w:val="0"/>
                <w:szCs w:val="21"/>
              </w:rPr>
            </w:pPr>
            <w:r>
              <w:rPr>
                <w:rFonts w:hint="eastAsia" w:ascii="楷体_GB2312" w:hAnsi="宋体" w:eastAsia="楷体_GB2312"/>
                <w:b/>
                <w:bCs/>
                <w:kern w:val="0"/>
                <w:szCs w:val="21"/>
              </w:rPr>
              <w:t>单位</w:t>
            </w:r>
          </w:p>
        </w:tc>
        <w:tc>
          <w:tcPr>
            <w:tcW w:w="883" w:type="dxa"/>
            <w:tcBorders>
              <w:bottom w:val="single" w:color="auto" w:sz="8" w:space="0"/>
            </w:tcBorders>
            <w:shd w:val="clear" w:color="auto" w:fill="FFFFFF"/>
            <w:vAlign w:val="center"/>
          </w:tcPr>
          <w:p>
            <w:pPr>
              <w:autoSpaceDN w:val="0"/>
              <w:snapToGrid w:val="0"/>
              <w:jc w:val="center"/>
              <w:rPr>
                <w:rFonts w:ascii="楷体_GB2312" w:hAnsi="宋体" w:eastAsia="楷体_GB2312"/>
                <w:b/>
                <w:bCs/>
                <w:kern w:val="0"/>
                <w:szCs w:val="21"/>
              </w:rPr>
            </w:pPr>
            <w:r>
              <w:rPr>
                <w:rFonts w:ascii="楷体_GB2312" w:hAnsi="宋体" w:eastAsia="楷体_GB2312"/>
                <w:b/>
                <w:bCs/>
                <w:kern w:val="0"/>
                <w:szCs w:val="21"/>
              </w:rPr>
              <w:t>基础值</w:t>
            </w:r>
          </w:p>
        </w:tc>
        <w:tc>
          <w:tcPr>
            <w:tcW w:w="1157" w:type="dxa"/>
            <w:shd w:val="clear" w:color="auto" w:fill="FFFFFF"/>
            <w:vAlign w:val="center"/>
          </w:tcPr>
          <w:p>
            <w:pPr>
              <w:autoSpaceDN w:val="0"/>
              <w:snapToGrid w:val="0"/>
              <w:jc w:val="center"/>
              <w:rPr>
                <w:rFonts w:ascii="楷体_GB2312" w:hAnsi="宋体" w:eastAsia="楷体_GB2312"/>
                <w:b/>
                <w:bCs/>
                <w:kern w:val="0"/>
                <w:szCs w:val="21"/>
              </w:rPr>
            </w:pPr>
            <w:r>
              <w:rPr>
                <w:rFonts w:ascii="楷体_GB2312" w:hAnsi="宋体" w:eastAsia="楷体_GB2312"/>
                <w:b/>
                <w:bCs/>
                <w:kern w:val="0"/>
                <w:szCs w:val="21"/>
              </w:rPr>
              <w:t>规划值</w:t>
            </w:r>
          </w:p>
        </w:tc>
        <w:tc>
          <w:tcPr>
            <w:tcW w:w="883" w:type="dxa"/>
            <w:vMerge w:val="restart"/>
            <w:shd w:val="clear" w:color="auto" w:fill="FFFFFF"/>
            <w:vAlign w:val="center"/>
          </w:tcPr>
          <w:p>
            <w:pPr>
              <w:autoSpaceDN w:val="0"/>
              <w:snapToGrid w:val="0"/>
              <w:jc w:val="center"/>
              <w:rPr>
                <w:rFonts w:ascii="楷体_GB2312" w:hAnsi="宋体" w:eastAsia="楷体_GB2312"/>
                <w:b/>
                <w:bCs/>
                <w:kern w:val="0"/>
                <w:szCs w:val="21"/>
              </w:rPr>
            </w:pPr>
            <w:r>
              <w:rPr>
                <w:rFonts w:hint="eastAsia" w:ascii="楷体_GB2312" w:hAnsi="宋体" w:eastAsia="楷体_GB2312"/>
                <w:b/>
                <w:bCs/>
                <w:kern w:val="0"/>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710" w:type="dxa"/>
            <w:vMerge w:val="continue"/>
            <w:tcBorders>
              <w:bottom w:val="single" w:color="auto" w:sz="8" w:space="0"/>
              <w:tl2br w:val="nil"/>
            </w:tcBorders>
            <w:shd w:val="clear" w:color="auto" w:fill="FFFFFF"/>
            <w:vAlign w:val="center"/>
          </w:tcPr>
          <w:p>
            <w:pPr>
              <w:autoSpaceDN w:val="0"/>
              <w:snapToGrid w:val="0"/>
              <w:jc w:val="center"/>
              <w:rPr>
                <w:rFonts w:ascii="楷体_GB2312" w:hAnsi="宋体" w:eastAsia="楷体_GB2312"/>
                <w:b/>
                <w:bCs/>
                <w:kern w:val="0"/>
                <w:szCs w:val="21"/>
              </w:rPr>
            </w:pPr>
          </w:p>
        </w:tc>
        <w:tc>
          <w:tcPr>
            <w:tcW w:w="848" w:type="dxa"/>
            <w:vMerge w:val="continue"/>
            <w:tcBorders>
              <w:bottom w:val="single" w:color="auto" w:sz="8" w:space="0"/>
              <w:tl2br w:val="nil"/>
            </w:tcBorders>
            <w:shd w:val="clear" w:color="auto" w:fill="FFFFFF"/>
            <w:vAlign w:val="center"/>
          </w:tcPr>
          <w:p>
            <w:pPr>
              <w:autoSpaceDN w:val="0"/>
              <w:snapToGrid w:val="0"/>
              <w:jc w:val="center"/>
              <w:rPr>
                <w:rFonts w:ascii="楷体_GB2312" w:hAnsi="宋体" w:eastAsia="楷体_GB2312"/>
                <w:b/>
                <w:bCs/>
                <w:kern w:val="0"/>
                <w:szCs w:val="21"/>
              </w:rPr>
            </w:pPr>
          </w:p>
        </w:tc>
        <w:tc>
          <w:tcPr>
            <w:tcW w:w="3457" w:type="dxa"/>
            <w:vMerge w:val="continue"/>
            <w:tcBorders>
              <w:bottom w:val="single" w:color="auto" w:sz="8" w:space="0"/>
              <w:tl2br w:val="nil"/>
            </w:tcBorders>
            <w:shd w:val="clear" w:color="auto" w:fill="FFFFFF"/>
            <w:vAlign w:val="center"/>
          </w:tcPr>
          <w:p>
            <w:pPr>
              <w:autoSpaceDN w:val="0"/>
              <w:snapToGrid w:val="0"/>
              <w:jc w:val="center"/>
              <w:rPr>
                <w:rFonts w:ascii="楷体_GB2312" w:hAnsi="宋体" w:eastAsia="楷体_GB2312"/>
                <w:b/>
                <w:bCs/>
                <w:kern w:val="0"/>
                <w:szCs w:val="21"/>
              </w:rPr>
            </w:pPr>
          </w:p>
        </w:tc>
        <w:tc>
          <w:tcPr>
            <w:tcW w:w="861" w:type="dxa"/>
            <w:vMerge w:val="continue"/>
            <w:tcBorders>
              <w:bottom w:val="single" w:color="auto" w:sz="8" w:space="0"/>
            </w:tcBorders>
            <w:shd w:val="clear" w:color="auto" w:fill="FFFFFF"/>
            <w:vAlign w:val="center"/>
          </w:tcPr>
          <w:p>
            <w:pPr>
              <w:autoSpaceDN w:val="0"/>
              <w:snapToGrid w:val="0"/>
              <w:jc w:val="center"/>
              <w:rPr>
                <w:rFonts w:ascii="楷体_GB2312" w:hAnsi="宋体" w:eastAsia="楷体_GB2312"/>
                <w:b/>
                <w:bCs/>
                <w:kern w:val="0"/>
                <w:szCs w:val="21"/>
              </w:rPr>
            </w:pPr>
          </w:p>
        </w:tc>
        <w:tc>
          <w:tcPr>
            <w:tcW w:w="883" w:type="dxa"/>
            <w:tcBorders>
              <w:bottom w:val="single" w:color="auto" w:sz="8" w:space="0"/>
            </w:tcBorders>
            <w:shd w:val="clear" w:color="auto" w:fill="FFFFFF"/>
            <w:vAlign w:val="center"/>
          </w:tcPr>
          <w:p>
            <w:pPr>
              <w:autoSpaceDN w:val="0"/>
              <w:snapToGrid w:val="0"/>
              <w:jc w:val="center"/>
              <w:rPr>
                <w:rFonts w:ascii="楷体_GB2312" w:hAnsi="宋体" w:eastAsia="楷体_GB2312"/>
                <w:b/>
                <w:bCs/>
                <w:kern w:val="0"/>
                <w:szCs w:val="21"/>
              </w:rPr>
            </w:pPr>
            <w:r>
              <w:rPr>
                <w:rFonts w:hint="eastAsia" w:ascii="楷体_GB2312" w:hAnsi="宋体" w:eastAsia="楷体_GB2312"/>
                <w:b/>
                <w:bCs/>
                <w:kern w:val="0"/>
                <w:szCs w:val="21"/>
              </w:rPr>
              <w:t>2020年</w:t>
            </w:r>
          </w:p>
        </w:tc>
        <w:tc>
          <w:tcPr>
            <w:tcW w:w="1157" w:type="dxa"/>
            <w:tcBorders>
              <w:bottom w:val="single" w:color="auto" w:sz="8" w:space="0"/>
            </w:tcBorders>
            <w:shd w:val="clear" w:color="auto" w:fill="FFFFFF"/>
            <w:vAlign w:val="center"/>
          </w:tcPr>
          <w:p>
            <w:pPr>
              <w:autoSpaceDN w:val="0"/>
              <w:snapToGrid w:val="0"/>
              <w:jc w:val="center"/>
              <w:rPr>
                <w:rFonts w:ascii="楷体_GB2312" w:hAnsi="宋体" w:eastAsia="楷体_GB2312"/>
                <w:b/>
                <w:bCs/>
                <w:kern w:val="0"/>
                <w:szCs w:val="21"/>
              </w:rPr>
            </w:pPr>
            <w:r>
              <w:rPr>
                <w:rFonts w:hint="eastAsia" w:ascii="楷体_GB2312" w:hAnsi="宋体" w:eastAsia="楷体_GB2312"/>
                <w:b/>
                <w:bCs/>
                <w:kern w:val="0"/>
                <w:szCs w:val="21"/>
              </w:rPr>
              <w:t>2025年</w:t>
            </w:r>
          </w:p>
        </w:tc>
        <w:tc>
          <w:tcPr>
            <w:tcW w:w="883" w:type="dxa"/>
            <w:vMerge w:val="continue"/>
            <w:tcBorders>
              <w:bottom w:val="single" w:color="auto" w:sz="8" w:space="0"/>
            </w:tcBorders>
            <w:shd w:val="clear" w:color="auto" w:fill="FFFFFF"/>
            <w:vAlign w:val="center"/>
          </w:tcPr>
          <w:p>
            <w:pPr>
              <w:autoSpaceDN w:val="0"/>
              <w:snapToGrid w:val="0"/>
              <w:jc w:val="center"/>
              <w:rPr>
                <w:rFonts w:ascii="楷体_GB2312" w:hAnsi="宋体" w:eastAsia="楷体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710"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ascii="Times New Roman" w:hAnsi="Times New Roman" w:eastAsia="楷体_GB2312" w:cs="Times New Roman"/>
                <w:kern w:val="0"/>
                <w:szCs w:val="21"/>
              </w:rPr>
              <w:t>1</w:t>
            </w:r>
          </w:p>
        </w:tc>
        <w:tc>
          <w:tcPr>
            <w:tcW w:w="848" w:type="dxa"/>
            <w:vMerge w:val="restart"/>
            <w:tcBorders>
              <w:top w:val="single" w:color="auto" w:sz="8" w:space="0"/>
              <w:left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高质量创造</w:t>
            </w:r>
          </w:p>
        </w:tc>
        <w:tc>
          <w:tcPr>
            <w:tcW w:w="3457" w:type="dxa"/>
            <w:tcBorders>
              <w:top w:val="single" w:color="auto" w:sz="8" w:space="0"/>
              <w:left w:val="single" w:color="auto" w:sz="8" w:space="0"/>
              <w:bottom w:val="single" w:color="auto" w:sz="8" w:space="0"/>
              <w:right w:val="single" w:color="auto" w:sz="8" w:space="0"/>
            </w:tcBorders>
            <w:vAlign w:val="center"/>
          </w:tcPr>
          <w:p>
            <w:pPr>
              <w:autoSpaceDN w:val="0"/>
              <w:snapToGrid w:val="0"/>
              <w:jc w:val="left"/>
              <w:rPr>
                <w:rFonts w:ascii="楷体_GB2312" w:hAnsi="宋体" w:eastAsia="楷体_GB2312"/>
                <w:kern w:val="0"/>
                <w:szCs w:val="21"/>
              </w:rPr>
            </w:pPr>
            <w:r>
              <w:rPr>
                <w:rFonts w:hint="eastAsia" w:ascii="楷体_GB2312" w:hAnsi="宋体" w:eastAsia="楷体_GB2312"/>
                <w:kern w:val="0"/>
                <w:szCs w:val="21"/>
              </w:rPr>
              <w:t>每万人口高价值发明专利拥有量</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件</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0.88</w:t>
            </w: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宋体" w:hAnsi="宋体" w:cs="宋体"/>
                <w:kern w:val="0"/>
                <w:szCs w:val="21"/>
              </w:rPr>
              <w:t>≧</w:t>
            </w:r>
            <w:r>
              <w:rPr>
                <w:rFonts w:hint="eastAsia" w:ascii="楷体_GB2312" w:eastAsia="楷体_GB2312"/>
                <w:kern w:val="0"/>
                <w:szCs w:val="21"/>
              </w:rPr>
              <w:t>1.2</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10" w:type="dxa"/>
            <w:tcBorders>
              <w:top w:val="single" w:color="auto" w:sz="8" w:space="0"/>
              <w:left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ascii="Times New Roman" w:hAnsi="Times New Roman" w:eastAsia="楷体_GB2312" w:cs="Times New Roman"/>
                <w:kern w:val="0"/>
                <w:szCs w:val="21"/>
              </w:rPr>
              <w:t>2</w:t>
            </w:r>
          </w:p>
        </w:tc>
        <w:tc>
          <w:tcPr>
            <w:tcW w:w="848" w:type="dxa"/>
            <w:vMerge w:val="continue"/>
            <w:tcBorders>
              <w:left w:val="single" w:color="auto" w:sz="8" w:space="0"/>
              <w:right w:val="single" w:color="auto" w:sz="8" w:space="0"/>
            </w:tcBorders>
            <w:vAlign w:val="center"/>
          </w:tcPr>
          <w:p>
            <w:pPr>
              <w:autoSpaceDN w:val="0"/>
              <w:snapToGrid w:val="0"/>
              <w:jc w:val="center"/>
              <w:rPr>
                <w:rFonts w:ascii="楷体_GB2312" w:hAnsi="宋体" w:eastAsia="楷体_GB2312"/>
                <w:kern w:val="0"/>
                <w:szCs w:val="21"/>
              </w:rPr>
            </w:pPr>
          </w:p>
        </w:tc>
        <w:tc>
          <w:tcPr>
            <w:tcW w:w="3457" w:type="dxa"/>
            <w:tcBorders>
              <w:top w:val="single" w:color="auto" w:sz="8" w:space="0"/>
              <w:left w:val="single" w:color="auto" w:sz="8" w:space="0"/>
              <w:bottom w:val="single" w:color="auto" w:sz="8" w:space="0"/>
              <w:right w:val="single" w:color="auto" w:sz="8" w:space="0"/>
            </w:tcBorders>
            <w:vAlign w:val="center"/>
          </w:tcPr>
          <w:p>
            <w:pPr>
              <w:autoSpaceDN w:val="0"/>
              <w:snapToGrid w:val="0"/>
              <w:jc w:val="left"/>
              <w:rPr>
                <w:rFonts w:ascii="楷体_GB2312" w:hAnsi="宋体" w:eastAsia="楷体_GB2312"/>
                <w:kern w:val="0"/>
                <w:szCs w:val="21"/>
              </w:rPr>
            </w:pPr>
            <w:r>
              <w:rPr>
                <w:rFonts w:hint="eastAsia" w:ascii="楷体_GB2312" w:hAnsi="宋体" w:eastAsia="楷体_GB2312"/>
                <w:kern w:val="0"/>
                <w:szCs w:val="21"/>
              </w:rPr>
              <w:t>战略性新兴产业发明专利授权量</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件</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236</w:t>
            </w: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宋体" w:hAnsi="宋体" w:cs="宋体"/>
                <w:kern w:val="0"/>
                <w:szCs w:val="21"/>
              </w:rPr>
              <w:t>≧</w:t>
            </w:r>
            <w:r>
              <w:rPr>
                <w:rFonts w:hint="eastAsia" w:ascii="楷体_GB2312" w:eastAsia="楷体_GB2312"/>
                <w:kern w:val="0"/>
                <w:szCs w:val="21"/>
              </w:rPr>
              <w:t>350</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710" w:type="dxa"/>
            <w:tcBorders>
              <w:left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hint="eastAsia" w:ascii="Times New Roman" w:hAnsi="Times New Roman" w:eastAsia="楷体_GB2312" w:cs="Times New Roman"/>
                <w:kern w:val="0"/>
                <w:szCs w:val="21"/>
              </w:rPr>
              <w:t>5</w:t>
            </w:r>
          </w:p>
        </w:tc>
        <w:tc>
          <w:tcPr>
            <w:tcW w:w="848" w:type="dxa"/>
            <w:vMerge w:val="continue"/>
            <w:tcBorders>
              <w:left w:val="single" w:color="auto" w:sz="8" w:space="0"/>
              <w:right w:val="single" w:color="auto" w:sz="8" w:space="0"/>
            </w:tcBorders>
            <w:vAlign w:val="center"/>
          </w:tcPr>
          <w:p>
            <w:pPr>
              <w:autoSpaceDN w:val="0"/>
              <w:snapToGrid w:val="0"/>
              <w:jc w:val="center"/>
              <w:rPr>
                <w:rFonts w:ascii="楷体_GB2312" w:hAnsi="宋体" w:eastAsia="楷体_GB2312"/>
                <w:kern w:val="0"/>
                <w:szCs w:val="21"/>
              </w:rPr>
            </w:pPr>
          </w:p>
        </w:tc>
        <w:tc>
          <w:tcPr>
            <w:tcW w:w="3457" w:type="dxa"/>
            <w:tcBorders>
              <w:top w:val="single" w:color="auto" w:sz="8" w:space="0"/>
              <w:left w:val="single" w:color="auto" w:sz="8" w:space="0"/>
              <w:bottom w:val="single" w:color="auto" w:sz="8" w:space="0"/>
              <w:right w:val="single" w:color="auto" w:sz="8" w:space="0"/>
            </w:tcBorders>
            <w:vAlign w:val="center"/>
          </w:tcPr>
          <w:p>
            <w:pPr>
              <w:autoSpaceDN w:val="0"/>
              <w:snapToGrid w:val="0"/>
              <w:jc w:val="left"/>
              <w:rPr>
                <w:rFonts w:ascii="楷体_GB2312" w:hAnsi="宋体" w:eastAsia="楷体_GB2312"/>
                <w:kern w:val="0"/>
                <w:szCs w:val="21"/>
              </w:rPr>
            </w:pPr>
            <w:r>
              <w:rPr>
                <w:rFonts w:hint="eastAsia" w:ascii="楷体_GB2312" w:hAnsi="宋体" w:eastAsia="楷体_GB2312"/>
                <w:kern w:val="0"/>
                <w:szCs w:val="21"/>
              </w:rPr>
              <w:t>每万市场主体高价值商标拥有量</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件</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710" w:type="dxa"/>
            <w:tcBorders>
              <w:left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hint="eastAsia" w:ascii="Times New Roman" w:hAnsi="Times New Roman" w:eastAsia="楷体_GB2312" w:cs="Times New Roman"/>
                <w:kern w:val="0"/>
                <w:szCs w:val="21"/>
              </w:rPr>
              <w:t>6</w:t>
            </w:r>
          </w:p>
        </w:tc>
        <w:tc>
          <w:tcPr>
            <w:tcW w:w="848" w:type="dxa"/>
            <w:vMerge w:val="continue"/>
            <w:tcBorders>
              <w:left w:val="single" w:color="auto" w:sz="8" w:space="0"/>
              <w:right w:val="single" w:color="auto" w:sz="8" w:space="0"/>
            </w:tcBorders>
            <w:vAlign w:val="center"/>
          </w:tcPr>
          <w:p>
            <w:pPr>
              <w:autoSpaceDN w:val="0"/>
              <w:snapToGrid w:val="0"/>
              <w:jc w:val="center"/>
              <w:rPr>
                <w:rFonts w:ascii="楷体_GB2312" w:hAnsi="宋体" w:eastAsia="楷体_GB2312"/>
                <w:kern w:val="0"/>
                <w:szCs w:val="21"/>
              </w:rPr>
            </w:pPr>
          </w:p>
        </w:tc>
        <w:tc>
          <w:tcPr>
            <w:tcW w:w="3457" w:type="dxa"/>
            <w:tcBorders>
              <w:top w:val="single" w:color="auto" w:sz="8" w:space="0"/>
              <w:left w:val="single" w:color="auto" w:sz="8" w:space="0"/>
              <w:bottom w:val="single" w:color="auto" w:sz="8" w:space="0"/>
              <w:right w:val="single" w:color="auto" w:sz="8" w:space="0"/>
            </w:tcBorders>
            <w:vAlign w:val="center"/>
          </w:tcPr>
          <w:p>
            <w:pPr>
              <w:autoSpaceDN w:val="0"/>
              <w:snapToGrid w:val="0"/>
              <w:jc w:val="left"/>
              <w:rPr>
                <w:rFonts w:ascii="楷体_GB2312" w:hAnsi="宋体" w:eastAsia="楷体_GB2312"/>
                <w:kern w:val="0"/>
                <w:szCs w:val="21"/>
              </w:rPr>
            </w:pPr>
            <w:r>
              <w:rPr>
                <w:rFonts w:hint="eastAsia" w:ascii="楷体_GB2312" w:hAnsi="宋体" w:eastAsia="楷体_GB2312"/>
                <w:kern w:val="0"/>
                <w:szCs w:val="21"/>
              </w:rPr>
              <w:t>著作权登记量年均增长率</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31</w:t>
            </w: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宋体" w:hAnsi="宋体" w:cs="宋体"/>
                <w:kern w:val="0"/>
                <w:szCs w:val="21"/>
              </w:rPr>
              <w:t>≧30%</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710" w:type="dxa"/>
            <w:tcBorders>
              <w:left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hint="eastAsia" w:ascii="Times New Roman" w:hAnsi="Times New Roman" w:eastAsia="楷体_GB2312" w:cs="Times New Roman"/>
                <w:kern w:val="0"/>
                <w:szCs w:val="21"/>
              </w:rPr>
              <w:t>7</w:t>
            </w:r>
          </w:p>
        </w:tc>
        <w:tc>
          <w:tcPr>
            <w:tcW w:w="848" w:type="dxa"/>
            <w:vMerge w:val="continue"/>
            <w:tcBorders>
              <w:left w:val="single" w:color="auto" w:sz="8" w:space="0"/>
              <w:right w:val="single" w:color="auto" w:sz="8" w:space="0"/>
            </w:tcBorders>
            <w:vAlign w:val="center"/>
          </w:tcPr>
          <w:p>
            <w:pPr>
              <w:autoSpaceDN w:val="0"/>
              <w:snapToGrid w:val="0"/>
              <w:jc w:val="center"/>
              <w:rPr>
                <w:rFonts w:ascii="楷体_GB2312" w:hAnsi="宋体" w:eastAsia="楷体_GB2312"/>
                <w:kern w:val="0"/>
                <w:szCs w:val="21"/>
              </w:rPr>
            </w:pPr>
          </w:p>
        </w:tc>
        <w:tc>
          <w:tcPr>
            <w:tcW w:w="3457" w:type="dxa"/>
            <w:tcBorders>
              <w:top w:val="single" w:color="auto" w:sz="8" w:space="0"/>
              <w:left w:val="single" w:color="auto" w:sz="8" w:space="0"/>
              <w:bottom w:val="single" w:color="auto" w:sz="8" w:space="0"/>
              <w:right w:val="single" w:color="auto" w:sz="8" w:space="0"/>
            </w:tcBorders>
            <w:vAlign w:val="center"/>
          </w:tcPr>
          <w:p>
            <w:pPr>
              <w:autoSpaceDN w:val="0"/>
              <w:snapToGrid w:val="0"/>
              <w:jc w:val="left"/>
              <w:rPr>
                <w:rFonts w:ascii="楷体_GB2312" w:hAnsi="宋体" w:eastAsia="楷体_GB2312"/>
                <w:kern w:val="0"/>
                <w:szCs w:val="21"/>
              </w:rPr>
            </w:pPr>
            <w:r>
              <w:rPr>
                <w:rFonts w:hint="eastAsia" w:ascii="楷体_GB2312" w:hAnsi="宋体" w:eastAsia="楷体_GB2312"/>
                <w:kern w:val="0"/>
                <w:szCs w:val="21"/>
              </w:rPr>
              <w:t>广东省最具价值版权产品</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件</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w:t>
            </w: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2</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10" w:type="dxa"/>
            <w:tcBorders>
              <w:left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hint="eastAsia" w:ascii="Times New Roman" w:hAnsi="Times New Roman" w:eastAsia="楷体_GB2312" w:cs="Times New Roman"/>
                <w:kern w:val="0"/>
                <w:szCs w:val="21"/>
              </w:rPr>
              <w:t>8</w:t>
            </w:r>
          </w:p>
        </w:tc>
        <w:tc>
          <w:tcPr>
            <w:tcW w:w="848" w:type="dxa"/>
            <w:vMerge w:val="restart"/>
            <w:tcBorders>
              <w:left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高效益运用</w:t>
            </w:r>
          </w:p>
        </w:tc>
        <w:tc>
          <w:tcPr>
            <w:tcW w:w="3457" w:type="dxa"/>
            <w:tcBorders>
              <w:top w:val="single" w:color="auto" w:sz="8" w:space="0"/>
              <w:left w:val="single" w:color="auto" w:sz="8" w:space="0"/>
              <w:bottom w:val="single" w:color="auto" w:sz="8" w:space="0"/>
              <w:right w:val="single" w:color="auto" w:sz="8" w:space="0"/>
            </w:tcBorders>
            <w:vAlign w:val="center"/>
          </w:tcPr>
          <w:p>
            <w:pPr>
              <w:autoSpaceDN w:val="0"/>
              <w:snapToGrid w:val="0"/>
              <w:jc w:val="left"/>
              <w:rPr>
                <w:rFonts w:ascii="楷体_GB2312" w:hAnsi="宋体" w:eastAsia="楷体_GB2312"/>
                <w:kern w:val="0"/>
                <w:szCs w:val="21"/>
              </w:rPr>
            </w:pPr>
            <w:r>
              <w:rPr>
                <w:rFonts w:hint="eastAsia" w:ascii="楷体_GB2312" w:hAnsi="宋体" w:eastAsia="楷体_GB2312"/>
                <w:kern w:val="0"/>
                <w:szCs w:val="21"/>
              </w:rPr>
              <w:t>知识产权质押融资金额、项目数</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亿元、项</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1.57、11</w:t>
            </w: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3</w:t>
            </w:r>
            <w:r>
              <w:rPr>
                <w:rFonts w:ascii="楷体_GB2312" w:eastAsia="楷体_GB2312"/>
                <w:kern w:val="0"/>
                <w:szCs w:val="21"/>
              </w:rPr>
              <w:t>、</w:t>
            </w:r>
          </w:p>
          <w:p>
            <w:pPr>
              <w:pStyle w:val="2"/>
              <w:ind w:left="0" w:leftChars="0" w:firstLine="0"/>
            </w:pPr>
            <w:r>
              <w:rPr>
                <w:rFonts w:hint="eastAsia"/>
              </w:rPr>
              <w:t>（30）</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710" w:type="dxa"/>
            <w:tcBorders>
              <w:left w:val="single" w:color="auto" w:sz="8" w:space="0"/>
              <w:bottom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hint="eastAsia" w:ascii="Times New Roman" w:hAnsi="Times New Roman" w:eastAsia="楷体_GB2312" w:cs="Times New Roman"/>
                <w:kern w:val="0"/>
                <w:szCs w:val="21"/>
              </w:rPr>
              <w:t>9</w:t>
            </w:r>
          </w:p>
        </w:tc>
        <w:tc>
          <w:tcPr>
            <w:tcW w:w="848" w:type="dxa"/>
            <w:vMerge w:val="continue"/>
            <w:tcBorders>
              <w:left w:val="single" w:color="auto" w:sz="8" w:space="0"/>
              <w:right w:val="single" w:color="auto" w:sz="8" w:space="0"/>
            </w:tcBorders>
            <w:vAlign w:val="center"/>
          </w:tcPr>
          <w:p>
            <w:pPr>
              <w:autoSpaceDN w:val="0"/>
              <w:snapToGrid w:val="0"/>
              <w:jc w:val="center"/>
              <w:rPr>
                <w:rFonts w:ascii="楷体_GB2312" w:hAnsi="宋体" w:eastAsia="楷体_GB2312"/>
                <w:kern w:val="0"/>
                <w:szCs w:val="21"/>
              </w:rPr>
            </w:pPr>
          </w:p>
        </w:tc>
        <w:tc>
          <w:tcPr>
            <w:tcW w:w="3457" w:type="dxa"/>
            <w:tcBorders>
              <w:top w:val="single" w:color="auto" w:sz="8" w:space="0"/>
              <w:left w:val="single" w:color="auto" w:sz="8" w:space="0"/>
              <w:bottom w:val="single" w:color="auto" w:sz="8" w:space="0"/>
              <w:right w:val="single" w:color="auto" w:sz="8" w:space="0"/>
            </w:tcBorders>
            <w:vAlign w:val="center"/>
          </w:tcPr>
          <w:p>
            <w:pPr>
              <w:autoSpaceDN w:val="0"/>
              <w:snapToGrid w:val="0"/>
              <w:jc w:val="left"/>
              <w:rPr>
                <w:rFonts w:ascii="楷体_GB2312" w:hAnsi="宋体" w:eastAsia="楷体_GB2312"/>
                <w:kern w:val="0"/>
                <w:szCs w:val="21"/>
              </w:rPr>
            </w:pPr>
            <w:r>
              <w:rPr>
                <w:rFonts w:hint="eastAsia" w:ascii="楷体_GB2312" w:hAnsi="宋体" w:eastAsia="楷体_GB2312"/>
                <w:kern w:val="0"/>
                <w:szCs w:val="21"/>
              </w:rPr>
              <w:t>知识产权和技术合同交易额</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ascii="楷体_GB2312" w:hAnsi="宋体" w:eastAsia="楷体_GB2312"/>
                <w:kern w:val="0"/>
                <w:szCs w:val="21"/>
              </w:rPr>
              <w:t>万元</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6645</w:t>
            </w: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（10000）</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710" w:type="dxa"/>
            <w:tcBorders>
              <w:left w:val="single" w:color="auto" w:sz="8" w:space="0"/>
              <w:bottom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hint="eastAsia" w:ascii="Times New Roman" w:hAnsi="Times New Roman" w:eastAsia="楷体_GB2312" w:cs="Times New Roman"/>
                <w:kern w:val="0"/>
                <w:szCs w:val="21"/>
              </w:rPr>
              <w:t>10</w:t>
            </w:r>
          </w:p>
        </w:tc>
        <w:tc>
          <w:tcPr>
            <w:tcW w:w="848" w:type="dxa"/>
            <w:vMerge w:val="continue"/>
            <w:tcBorders>
              <w:left w:val="single" w:color="auto" w:sz="8" w:space="0"/>
              <w:right w:val="single" w:color="auto" w:sz="8" w:space="0"/>
            </w:tcBorders>
            <w:vAlign w:val="center"/>
          </w:tcPr>
          <w:p>
            <w:pPr>
              <w:autoSpaceDN w:val="0"/>
              <w:snapToGrid w:val="0"/>
              <w:jc w:val="center"/>
              <w:rPr>
                <w:rFonts w:ascii="楷体_GB2312" w:hAnsi="宋体" w:eastAsia="楷体_GB2312"/>
                <w:kern w:val="0"/>
                <w:szCs w:val="21"/>
              </w:rPr>
            </w:pPr>
          </w:p>
        </w:tc>
        <w:tc>
          <w:tcPr>
            <w:tcW w:w="3457" w:type="dxa"/>
            <w:tcBorders>
              <w:top w:val="single" w:color="auto" w:sz="8" w:space="0"/>
              <w:left w:val="single" w:color="auto" w:sz="8" w:space="0"/>
              <w:bottom w:val="single" w:color="auto" w:sz="8" w:space="0"/>
              <w:right w:val="single" w:color="auto" w:sz="8" w:space="0"/>
            </w:tcBorders>
            <w:vAlign w:val="center"/>
          </w:tcPr>
          <w:p>
            <w:pPr>
              <w:autoSpaceDN w:val="0"/>
              <w:snapToGrid w:val="0"/>
              <w:jc w:val="left"/>
              <w:rPr>
                <w:rFonts w:ascii="楷体_GB2312" w:hAnsi="宋体" w:eastAsia="楷体_GB2312"/>
                <w:kern w:val="0"/>
                <w:szCs w:val="21"/>
              </w:rPr>
            </w:pPr>
            <w:r>
              <w:rPr>
                <w:rFonts w:hint="eastAsia" w:ascii="楷体_GB2312" w:hAnsi="宋体" w:eastAsia="楷体_GB2312"/>
                <w:kern w:val="0"/>
                <w:szCs w:val="21"/>
              </w:rPr>
              <w:t>地理标志保护产品产业值规模</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亿元</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83</w:t>
            </w: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103.53</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710" w:type="dxa"/>
            <w:tcBorders>
              <w:left w:val="single" w:color="auto" w:sz="8" w:space="0"/>
              <w:bottom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hint="eastAsia" w:ascii="Times New Roman" w:hAnsi="Times New Roman" w:eastAsia="楷体_GB2312" w:cs="Times New Roman"/>
                <w:kern w:val="0"/>
                <w:szCs w:val="21"/>
              </w:rPr>
              <w:t>11</w:t>
            </w:r>
          </w:p>
        </w:tc>
        <w:tc>
          <w:tcPr>
            <w:tcW w:w="848" w:type="dxa"/>
            <w:vMerge w:val="continue"/>
            <w:tcBorders>
              <w:left w:val="single" w:color="auto" w:sz="8" w:space="0"/>
              <w:right w:val="single" w:color="auto" w:sz="8" w:space="0"/>
            </w:tcBorders>
            <w:vAlign w:val="center"/>
          </w:tcPr>
          <w:p>
            <w:pPr>
              <w:autoSpaceDN w:val="0"/>
              <w:snapToGrid w:val="0"/>
              <w:jc w:val="center"/>
              <w:rPr>
                <w:rFonts w:ascii="楷体_GB2312" w:hAnsi="宋体" w:eastAsia="楷体_GB2312"/>
                <w:kern w:val="0"/>
                <w:szCs w:val="21"/>
              </w:rPr>
            </w:pPr>
          </w:p>
        </w:tc>
        <w:tc>
          <w:tcPr>
            <w:tcW w:w="3457" w:type="dxa"/>
            <w:tcBorders>
              <w:top w:val="single" w:color="auto" w:sz="8" w:space="0"/>
              <w:left w:val="single" w:color="auto" w:sz="8" w:space="0"/>
              <w:bottom w:val="single" w:color="auto" w:sz="8" w:space="0"/>
              <w:right w:val="single" w:color="auto" w:sz="8" w:space="0"/>
            </w:tcBorders>
            <w:vAlign w:val="center"/>
          </w:tcPr>
          <w:p>
            <w:pPr>
              <w:autoSpaceDN w:val="0"/>
              <w:snapToGrid w:val="0"/>
              <w:jc w:val="left"/>
              <w:rPr>
                <w:rFonts w:ascii="楷体_GB2312" w:hAnsi="宋体" w:eastAsia="楷体_GB2312"/>
                <w:kern w:val="0"/>
                <w:szCs w:val="21"/>
              </w:rPr>
            </w:pPr>
            <w:r>
              <w:rPr>
                <w:rFonts w:hint="eastAsia" w:ascii="楷体_GB2312" w:hAnsi="宋体" w:eastAsia="楷体_GB2312"/>
                <w:kern w:val="0"/>
                <w:szCs w:val="21"/>
              </w:rPr>
              <w:t>省级以上版权兴业示范单位</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件</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w:t>
            </w: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2</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10" w:type="dxa"/>
            <w:tcBorders>
              <w:top w:val="single" w:color="auto" w:sz="8" w:space="0"/>
              <w:left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hint="eastAsia" w:ascii="Times New Roman" w:hAnsi="Times New Roman" w:eastAsia="楷体_GB2312" w:cs="Times New Roman"/>
                <w:kern w:val="0"/>
                <w:szCs w:val="21"/>
              </w:rPr>
              <w:t>12</w:t>
            </w:r>
          </w:p>
        </w:tc>
        <w:tc>
          <w:tcPr>
            <w:tcW w:w="848" w:type="dxa"/>
            <w:vMerge w:val="restart"/>
            <w:tcBorders>
              <w:top w:val="single" w:color="auto" w:sz="8" w:space="0"/>
              <w:left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高标准保护</w:t>
            </w:r>
          </w:p>
        </w:tc>
        <w:tc>
          <w:tcPr>
            <w:tcW w:w="3457"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楷体_GB2312" w:hAnsi="宋体" w:eastAsia="楷体_GB2312"/>
                <w:kern w:val="0"/>
                <w:szCs w:val="21"/>
              </w:rPr>
            </w:pPr>
            <w:r>
              <w:rPr>
                <w:rFonts w:ascii="楷体_GB2312" w:hAnsi="宋体" w:eastAsia="楷体_GB2312"/>
                <w:kern w:val="0"/>
                <w:szCs w:val="21"/>
              </w:rPr>
              <w:t>知识产权维权援助和调解办案量</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ascii="楷体_GB2312" w:hAnsi="宋体" w:eastAsia="楷体_GB2312"/>
                <w:kern w:val="0"/>
                <w:szCs w:val="21"/>
              </w:rPr>
              <w:t>件</w:t>
            </w:r>
            <w:r>
              <w:rPr>
                <w:rFonts w:hint="eastAsia" w:ascii="楷体_GB2312" w:hAnsi="宋体" w:eastAsia="楷体_GB2312"/>
                <w:kern w:val="0"/>
                <w:szCs w:val="21"/>
              </w:rPr>
              <w:t>/年</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4</w:t>
            </w: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宋体" w:hAnsi="宋体" w:cs="宋体"/>
                <w:kern w:val="0"/>
                <w:szCs w:val="21"/>
              </w:rPr>
              <w:t>(35)</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710" w:type="dxa"/>
            <w:tcBorders>
              <w:top w:val="single" w:color="auto" w:sz="8" w:space="0"/>
              <w:left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hint="eastAsia" w:ascii="Times New Roman" w:hAnsi="Times New Roman" w:eastAsia="楷体_GB2312" w:cs="Times New Roman"/>
                <w:kern w:val="0"/>
                <w:szCs w:val="21"/>
              </w:rPr>
              <w:t>14</w:t>
            </w:r>
          </w:p>
        </w:tc>
        <w:tc>
          <w:tcPr>
            <w:tcW w:w="848" w:type="dxa"/>
            <w:vMerge w:val="continue"/>
            <w:tcBorders>
              <w:left w:val="single" w:color="auto" w:sz="8" w:space="0"/>
              <w:right w:val="single" w:color="auto" w:sz="8" w:space="0"/>
            </w:tcBorders>
            <w:vAlign w:val="center"/>
          </w:tcPr>
          <w:p>
            <w:pPr>
              <w:autoSpaceDN w:val="0"/>
              <w:snapToGrid w:val="0"/>
              <w:jc w:val="center"/>
              <w:rPr>
                <w:rFonts w:ascii="楷体_GB2312" w:hAnsi="宋体" w:eastAsia="楷体_GB2312"/>
                <w:kern w:val="0"/>
                <w:szCs w:val="21"/>
              </w:rPr>
            </w:pPr>
          </w:p>
        </w:tc>
        <w:tc>
          <w:tcPr>
            <w:tcW w:w="3457"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楷体_GB2312" w:hAnsi="宋体" w:eastAsia="楷体_GB2312"/>
                <w:kern w:val="0"/>
                <w:szCs w:val="21"/>
              </w:rPr>
            </w:pPr>
            <w:r>
              <w:rPr>
                <w:rFonts w:ascii="楷体_GB2312" w:hAnsi="宋体" w:eastAsia="楷体_GB2312"/>
                <w:kern w:val="0"/>
                <w:szCs w:val="21"/>
              </w:rPr>
              <w:t>专利、商标</w:t>
            </w:r>
            <w:r>
              <w:rPr>
                <w:rFonts w:hint="eastAsia" w:ascii="楷体_GB2312" w:hAnsi="宋体" w:eastAsia="楷体_GB2312"/>
                <w:kern w:val="0"/>
                <w:szCs w:val="21"/>
              </w:rPr>
              <w:t>行政</w:t>
            </w:r>
            <w:r>
              <w:rPr>
                <w:rFonts w:ascii="楷体_GB2312" w:hAnsi="宋体" w:eastAsia="楷体_GB2312"/>
                <w:kern w:val="0"/>
                <w:szCs w:val="21"/>
              </w:rPr>
              <w:t>案件结案</w:t>
            </w:r>
            <w:r>
              <w:rPr>
                <w:rFonts w:hint="eastAsia" w:ascii="楷体_GB2312" w:hAnsi="宋体" w:eastAsia="楷体_GB2312"/>
                <w:kern w:val="0"/>
                <w:szCs w:val="21"/>
              </w:rPr>
              <w:t>数量</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件</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115</w:t>
            </w: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（605）</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10" w:type="dxa"/>
            <w:tcBorders>
              <w:top w:val="single" w:color="auto" w:sz="8" w:space="0"/>
              <w:left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hint="eastAsia" w:ascii="Times New Roman" w:hAnsi="Times New Roman" w:eastAsia="楷体_GB2312" w:cs="Times New Roman"/>
                <w:kern w:val="0"/>
                <w:szCs w:val="21"/>
              </w:rPr>
              <w:t>15</w:t>
            </w:r>
          </w:p>
        </w:tc>
        <w:tc>
          <w:tcPr>
            <w:tcW w:w="848" w:type="dxa"/>
            <w:vMerge w:val="continue"/>
            <w:tcBorders>
              <w:left w:val="single" w:color="auto" w:sz="8" w:space="0"/>
              <w:right w:val="single" w:color="auto" w:sz="8" w:space="0"/>
            </w:tcBorders>
            <w:vAlign w:val="center"/>
          </w:tcPr>
          <w:p>
            <w:pPr>
              <w:autoSpaceDN w:val="0"/>
              <w:snapToGrid w:val="0"/>
              <w:jc w:val="center"/>
              <w:rPr>
                <w:rFonts w:ascii="楷体_GB2312" w:hAnsi="宋体" w:eastAsia="楷体_GB2312"/>
                <w:kern w:val="0"/>
                <w:szCs w:val="21"/>
              </w:rPr>
            </w:pPr>
          </w:p>
        </w:tc>
        <w:tc>
          <w:tcPr>
            <w:tcW w:w="3457"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楷体_GB2312" w:hAnsi="宋体" w:eastAsia="楷体_GB2312"/>
                <w:kern w:val="0"/>
                <w:szCs w:val="21"/>
              </w:rPr>
            </w:pPr>
            <w:r>
              <w:rPr>
                <w:rFonts w:hint="eastAsia" w:ascii="楷体_GB2312" w:hAnsi="宋体" w:eastAsia="楷体_GB2312"/>
                <w:kern w:val="0"/>
                <w:szCs w:val="21"/>
              </w:rPr>
              <w:t>版权案件查办量</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件</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12</w:t>
            </w: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（25）</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10" w:type="dxa"/>
            <w:tcBorders>
              <w:top w:val="single" w:color="auto" w:sz="8" w:space="0"/>
              <w:left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hint="eastAsia" w:ascii="Times New Roman" w:hAnsi="Times New Roman" w:eastAsia="楷体_GB2312" w:cs="Times New Roman"/>
                <w:kern w:val="0"/>
                <w:szCs w:val="21"/>
              </w:rPr>
              <w:t>16</w:t>
            </w:r>
          </w:p>
        </w:tc>
        <w:tc>
          <w:tcPr>
            <w:tcW w:w="848" w:type="dxa"/>
            <w:vMerge w:val="continue"/>
            <w:tcBorders>
              <w:left w:val="single" w:color="auto" w:sz="8" w:space="0"/>
              <w:right w:val="single" w:color="auto" w:sz="8" w:space="0"/>
            </w:tcBorders>
            <w:vAlign w:val="center"/>
          </w:tcPr>
          <w:p>
            <w:pPr>
              <w:autoSpaceDN w:val="0"/>
              <w:snapToGrid w:val="0"/>
              <w:jc w:val="center"/>
              <w:rPr>
                <w:rFonts w:ascii="楷体_GB2312" w:hAnsi="宋体" w:eastAsia="楷体_GB2312"/>
                <w:kern w:val="0"/>
                <w:szCs w:val="21"/>
              </w:rPr>
            </w:pPr>
          </w:p>
        </w:tc>
        <w:tc>
          <w:tcPr>
            <w:tcW w:w="3457"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楷体_GB2312" w:hAnsi="宋体" w:eastAsia="楷体_GB2312"/>
                <w:kern w:val="0"/>
                <w:szCs w:val="21"/>
              </w:rPr>
            </w:pPr>
            <w:r>
              <w:rPr>
                <w:rFonts w:hint="eastAsia" w:ascii="楷体_GB2312" w:hAnsi="宋体" w:eastAsia="楷体_GB2312"/>
                <w:kern w:val="0"/>
                <w:szCs w:val="21"/>
              </w:rPr>
              <w:t>法院一审审结的</w:t>
            </w:r>
            <w:r>
              <w:rPr>
                <w:rFonts w:ascii="楷体_GB2312" w:hAnsi="宋体" w:eastAsia="楷体_GB2312"/>
                <w:kern w:val="0"/>
                <w:szCs w:val="21"/>
              </w:rPr>
              <w:t>知识产权民事诉讼案件</w:t>
            </w:r>
            <w:r>
              <w:rPr>
                <w:rFonts w:hint="eastAsia" w:ascii="楷体_GB2312" w:hAnsi="宋体" w:eastAsia="楷体_GB2312"/>
                <w:kern w:val="0"/>
                <w:szCs w:val="21"/>
              </w:rPr>
              <w:t>服判息诉率</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w:t>
            </w: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宋体" w:hAnsi="宋体" w:cs="宋体"/>
                <w:kern w:val="0"/>
                <w:szCs w:val="21"/>
              </w:rPr>
              <w:t>≧</w:t>
            </w:r>
            <w:r>
              <w:rPr>
                <w:rFonts w:hint="eastAsia" w:ascii="楷体_GB2312" w:eastAsia="楷体_GB2312"/>
                <w:kern w:val="0"/>
                <w:szCs w:val="21"/>
              </w:rPr>
              <w:t>80</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10" w:type="dxa"/>
            <w:tcBorders>
              <w:left w:val="single" w:color="auto" w:sz="8" w:space="0"/>
              <w:bottom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hint="eastAsia" w:ascii="Times New Roman" w:hAnsi="Times New Roman" w:eastAsia="楷体_GB2312" w:cs="Times New Roman"/>
                <w:kern w:val="0"/>
                <w:szCs w:val="21"/>
              </w:rPr>
              <w:t>17</w:t>
            </w:r>
          </w:p>
        </w:tc>
        <w:tc>
          <w:tcPr>
            <w:tcW w:w="848" w:type="dxa"/>
            <w:vMerge w:val="restart"/>
            <w:tcBorders>
              <w:left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hint="eastAsia" w:ascii="楷体_GB2312" w:hAnsi="宋体" w:eastAsia="楷体_GB2312"/>
                <w:kern w:val="0"/>
                <w:szCs w:val="21"/>
              </w:rPr>
              <w:t>高水平服务</w:t>
            </w:r>
          </w:p>
        </w:tc>
        <w:tc>
          <w:tcPr>
            <w:tcW w:w="3457"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楷体_GB2312" w:hAnsi="宋体" w:eastAsia="楷体_GB2312"/>
                <w:kern w:val="0"/>
                <w:szCs w:val="21"/>
              </w:rPr>
            </w:pPr>
            <w:r>
              <w:rPr>
                <w:rFonts w:ascii="楷体_GB2312" w:hAnsi="宋体" w:eastAsia="楷体_GB2312"/>
                <w:kern w:val="0"/>
                <w:szCs w:val="21"/>
              </w:rPr>
              <w:t>知识产权信息公共服务网站访问量</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ascii="楷体_GB2312" w:hAnsi="宋体" w:eastAsia="楷体_GB2312"/>
                <w:kern w:val="0"/>
                <w:szCs w:val="21"/>
              </w:rPr>
              <w:t>人次</w:t>
            </w:r>
            <w:r>
              <w:rPr>
                <w:rFonts w:hint="eastAsia" w:ascii="楷体_GB2312" w:hAnsi="宋体" w:eastAsia="楷体_GB2312"/>
                <w:kern w:val="0"/>
                <w:szCs w:val="21"/>
              </w:rPr>
              <w:t>/年</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w:t>
            </w: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宋体" w:hAnsi="宋体" w:cs="宋体"/>
                <w:kern w:val="0"/>
                <w:szCs w:val="21"/>
              </w:rPr>
              <w:t>≧</w:t>
            </w:r>
            <w:r>
              <w:rPr>
                <w:rFonts w:hint="eastAsia" w:ascii="楷体_GB2312" w:eastAsia="楷体_GB2312"/>
                <w:kern w:val="0"/>
                <w:szCs w:val="21"/>
              </w:rPr>
              <w:t>5000</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10" w:type="dxa"/>
            <w:tcBorders>
              <w:top w:val="single" w:color="auto" w:sz="8" w:space="0"/>
              <w:left w:val="single" w:color="auto" w:sz="8" w:space="0"/>
              <w:right w:val="single" w:color="auto" w:sz="8" w:space="0"/>
            </w:tcBorders>
            <w:vAlign w:val="center"/>
          </w:tcPr>
          <w:p>
            <w:pPr>
              <w:autoSpaceDN w:val="0"/>
              <w:snapToGrid w:val="0"/>
              <w:jc w:val="center"/>
              <w:rPr>
                <w:rFonts w:ascii="Times New Roman" w:hAnsi="Times New Roman" w:eastAsia="楷体_GB2312" w:cs="Times New Roman"/>
                <w:kern w:val="0"/>
                <w:szCs w:val="21"/>
              </w:rPr>
            </w:pPr>
            <w:r>
              <w:rPr>
                <w:rFonts w:hint="eastAsia" w:ascii="Times New Roman" w:hAnsi="Times New Roman" w:eastAsia="楷体_GB2312" w:cs="Times New Roman"/>
                <w:kern w:val="0"/>
                <w:szCs w:val="21"/>
              </w:rPr>
              <w:t>18</w:t>
            </w:r>
          </w:p>
        </w:tc>
        <w:tc>
          <w:tcPr>
            <w:tcW w:w="848" w:type="dxa"/>
            <w:vMerge w:val="continue"/>
            <w:tcBorders>
              <w:left w:val="single" w:color="auto" w:sz="8" w:space="0"/>
              <w:right w:val="single" w:color="auto" w:sz="8" w:space="0"/>
            </w:tcBorders>
            <w:vAlign w:val="center"/>
          </w:tcPr>
          <w:p>
            <w:pPr>
              <w:autoSpaceDN w:val="0"/>
              <w:snapToGrid w:val="0"/>
              <w:jc w:val="left"/>
              <w:rPr>
                <w:rFonts w:ascii="楷体_GB2312" w:hAnsi="宋体" w:eastAsia="楷体_GB2312"/>
                <w:kern w:val="0"/>
                <w:szCs w:val="21"/>
              </w:rPr>
            </w:pPr>
          </w:p>
        </w:tc>
        <w:tc>
          <w:tcPr>
            <w:tcW w:w="3457"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楷体_GB2312" w:hAnsi="宋体" w:eastAsia="楷体_GB2312"/>
                <w:kern w:val="0"/>
                <w:szCs w:val="21"/>
              </w:rPr>
            </w:pPr>
            <w:r>
              <w:rPr>
                <w:rFonts w:ascii="楷体_GB2312" w:hAnsi="宋体" w:eastAsia="楷体_GB2312"/>
                <w:kern w:val="0"/>
                <w:szCs w:val="21"/>
              </w:rPr>
              <w:t>知识产权信息公共服务节点、网点数量</w:t>
            </w:r>
          </w:p>
        </w:tc>
        <w:tc>
          <w:tcPr>
            <w:tcW w:w="861"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hAnsi="宋体" w:eastAsia="楷体_GB2312"/>
                <w:kern w:val="0"/>
                <w:szCs w:val="21"/>
              </w:rPr>
            </w:pPr>
            <w:r>
              <w:rPr>
                <w:rFonts w:ascii="楷体_GB2312" w:hAnsi="宋体" w:eastAsia="楷体_GB2312"/>
                <w:kern w:val="0"/>
                <w:szCs w:val="21"/>
              </w:rPr>
              <w:t>家</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w:t>
            </w:r>
          </w:p>
        </w:tc>
        <w:tc>
          <w:tcPr>
            <w:tcW w:w="1157"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宋体" w:hAnsi="宋体" w:cs="宋体"/>
                <w:kern w:val="0"/>
                <w:szCs w:val="21"/>
              </w:rPr>
              <w:t>≧</w:t>
            </w:r>
            <w:r>
              <w:rPr>
                <w:rFonts w:hint="eastAsia" w:ascii="楷体_GB2312" w:eastAsia="楷体_GB2312"/>
                <w:kern w:val="0"/>
                <w:szCs w:val="21"/>
              </w:rPr>
              <w:t>3</w:t>
            </w:r>
          </w:p>
        </w:tc>
        <w:tc>
          <w:tcPr>
            <w:tcW w:w="883" w:type="dxa"/>
            <w:tcBorders>
              <w:top w:val="single" w:color="auto" w:sz="8" w:space="0"/>
              <w:left w:val="single" w:color="auto" w:sz="8" w:space="0"/>
              <w:bottom w:val="single" w:color="auto" w:sz="8" w:space="0"/>
              <w:right w:val="single" w:color="auto" w:sz="8" w:space="0"/>
            </w:tcBorders>
            <w:vAlign w:val="center"/>
          </w:tcPr>
          <w:p>
            <w:pPr>
              <w:autoSpaceDN w:val="0"/>
              <w:snapToGrid w:val="0"/>
              <w:jc w:val="center"/>
              <w:rPr>
                <w:rFonts w:ascii="楷体_GB2312" w:eastAsia="楷体_GB2312"/>
                <w:kern w:val="0"/>
                <w:szCs w:val="21"/>
              </w:rPr>
            </w:pPr>
            <w:r>
              <w:rPr>
                <w:rFonts w:hint="eastAsia" w:ascii="楷体_GB2312" w:eastAsia="楷体_GB2312"/>
                <w:kern w:val="0"/>
                <w:szCs w:val="21"/>
              </w:rPr>
              <w:t>预期性</w:t>
            </w:r>
          </w:p>
        </w:tc>
      </w:tr>
    </w:tbl>
    <w:p>
      <w:pPr>
        <w:autoSpaceDN w:val="0"/>
        <w:snapToGrid w:val="0"/>
        <w:spacing w:line="400" w:lineRule="exact"/>
        <w:ind w:left="-15" w:leftChars="-7" w:firstLine="18" w:firstLineChars="9"/>
        <w:jc w:val="left"/>
        <w:rPr>
          <w:rFonts w:ascii="楷体_GB2312" w:hAnsi="宋体" w:eastAsia="楷体_GB2312" w:cs="Times New Roman"/>
          <w:kern w:val="0"/>
          <w:sz w:val="20"/>
          <w:szCs w:val="21"/>
        </w:rPr>
      </w:pPr>
      <w:r>
        <w:rPr>
          <w:rFonts w:hint="eastAsia" w:ascii="楷体_GB2312" w:hAnsi="宋体" w:eastAsia="楷体_GB2312" w:cs="Times New Roman"/>
          <w:kern w:val="0"/>
          <w:sz w:val="20"/>
          <w:szCs w:val="21"/>
        </w:rPr>
        <w:t xml:space="preserve">   注：1.每万人口高价值发明专利拥有量是指每万人口本省居民拥有的经国家知识产权局授权的符合下列任一条件的有效发明专利数量：一是战略性新兴产业的发明专利；二是在海外有同族专利权的发明专利；三是维持年限超过10年的发明专利；四是实现较高质押融资金额的发明专利；五是获得国家科学技术奖、中国专利奖的发明专利。</w:t>
      </w:r>
    </w:p>
    <w:p>
      <w:pPr>
        <w:autoSpaceDN w:val="0"/>
        <w:snapToGrid w:val="0"/>
        <w:spacing w:line="400" w:lineRule="exact"/>
        <w:ind w:left="-15" w:leftChars="-7" w:firstLine="18" w:firstLineChars="9"/>
        <w:jc w:val="left"/>
        <w:rPr>
          <w:rFonts w:ascii="楷体_GB2312" w:hAnsi="宋体" w:eastAsia="楷体_GB2312" w:cs="Times New Roman"/>
          <w:kern w:val="0"/>
          <w:sz w:val="20"/>
          <w:szCs w:val="21"/>
        </w:rPr>
      </w:pPr>
      <w:r>
        <w:rPr>
          <w:rFonts w:hint="eastAsia" w:ascii="楷体_GB2312" w:hAnsi="宋体" w:eastAsia="楷体_GB2312" w:cs="Times New Roman"/>
          <w:kern w:val="0"/>
          <w:sz w:val="20"/>
          <w:szCs w:val="21"/>
        </w:rPr>
        <w:t xml:space="preserve">    2.每万市场主体高价值商标拥有量是指每万市场主体拥有的经国家知识产权局商标局注册登记的符合下列任一条件的有效商标数量：一是持续时间超过10年的商标；二是实现质押融资或许可金额的商标；三是同时注册马德里国际商标的；四是规模以上工业企业、高新技术企业、上市企业拥有的有效商标；五是地理标志商标。</w:t>
      </w:r>
    </w:p>
    <w:p>
      <w:pPr>
        <w:autoSpaceDN w:val="0"/>
        <w:snapToGrid w:val="0"/>
        <w:spacing w:line="400" w:lineRule="exact"/>
        <w:ind w:left="-15" w:leftChars="-7" w:firstLine="18" w:firstLineChars="9"/>
        <w:jc w:val="left"/>
        <w:rPr>
          <w:rFonts w:ascii="楷体_GB2312" w:hAnsi="宋体" w:eastAsia="楷体_GB2312" w:cs="Times New Roman"/>
          <w:kern w:val="0"/>
          <w:sz w:val="20"/>
          <w:szCs w:val="21"/>
        </w:rPr>
      </w:pPr>
      <w:r>
        <w:rPr>
          <w:rFonts w:hint="eastAsia" w:ascii="楷体_GB2312" w:hAnsi="宋体" w:eastAsia="楷体_GB2312" w:cs="Times New Roman"/>
          <w:kern w:val="0"/>
          <w:sz w:val="20"/>
          <w:szCs w:val="21"/>
        </w:rPr>
        <w:t xml:space="preserve">    3.知识产权信息公共服务网站包括：一是指全省各级知识产权行政部门官方网站；二是全省被认定为知识产权信息公共服务节点网点机构所运维的网站。</w:t>
      </w:r>
    </w:p>
    <w:p>
      <w:pPr>
        <w:autoSpaceDN w:val="0"/>
        <w:snapToGrid w:val="0"/>
        <w:spacing w:line="400" w:lineRule="exact"/>
        <w:ind w:left="-15" w:leftChars="-7" w:firstLine="18" w:firstLineChars="9"/>
        <w:jc w:val="left"/>
        <w:rPr>
          <w:rFonts w:ascii="楷体_GB2312" w:hAnsi="宋体" w:eastAsia="楷体_GB2312" w:cs="Times New Roman"/>
          <w:kern w:val="0"/>
          <w:sz w:val="20"/>
          <w:szCs w:val="21"/>
        </w:rPr>
      </w:pPr>
      <w:r>
        <w:rPr>
          <w:rFonts w:hint="eastAsia" w:ascii="楷体_GB2312" w:hAnsi="宋体" w:eastAsia="楷体_GB2312" w:cs="Times New Roman"/>
          <w:kern w:val="0"/>
          <w:sz w:val="20"/>
          <w:szCs w:val="21"/>
        </w:rPr>
        <w:t xml:space="preserve">    4.〔   〕内为累计数，（   ）内为规划期间新增数。</w:t>
      </w:r>
    </w:p>
    <w:p>
      <w:pPr>
        <w:autoSpaceDE w:val="0"/>
        <w:autoSpaceDN w:val="0"/>
        <w:adjustRightInd w:val="0"/>
        <w:spacing w:line="580" w:lineRule="exact"/>
        <w:ind w:firstLine="640" w:firstLineChars="200"/>
        <w:outlineLvl w:val="0"/>
        <w:rPr>
          <w:rFonts w:ascii="黑体" w:hAnsi="黑体" w:eastAsia="黑体" w:cs="宋体"/>
          <w:color w:val="000000"/>
          <w:kern w:val="0"/>
          <w:sz w:val="32"/>
          <w:szCs w:val="32"/>
        </w:rPr>
      </w:pPr>
      <w:bookmarkStart w:id="17" w:name="_Toc76458234"/>
      <w:r>
        <w:rPr>
          <w:rFonts w:ascii="黑体" w:hAnsi="黑体" w:eastAsia="黑体" w:cs="宋体"/>
          <w:color w:val="000000"/>
          <w:kern w:val="0"/>
          <w:sz w:val="32"/>
          <w:szCs w:val="32"/>
        </w:rPr>
        <w:t>三、</w:t>
      </w:r>
      <w:r>
        <w:rPr>
          <w:rFonts w:hint="eastAsia" w:ascii="黑体" w:hAnsi="黑体" w:eastAsia="黑体" w:cs="宋体"/>
          <w:color w:val="000000"/>
          <w:kern w:val="0"/>
          <w:sz w:val="32"/>
          <w:szCs w:val="32"/>
        </w:rPr>
        <w:t>主要任务</w:t>
      </w:r>
      <w:bookmarkEnd w:id="17"/>
    </w:p>
    <w:p>
      <w:pPr>
        <w:autoSpaceDE w:val="0"/>
        <w:autoSpaceDN w:val="0"/>
        <w:adjustRightInd w:val="0"/>
        <w:spacing w:line="580" w:lineRule="exact"/>
        <w:ind w:firstLine="658"/>
        <w:rPr>
          <w:rFonts w:ascii="仿宋_GB2312" w:eastAsia="仿宋_GB2312" w:cs="Times New Roman"/>
          <w:color w:val="000000"/>
          <w:sz w:val="32"/>
          <w:szCs w:val="36"/>
        </w:rPr>
      </w:pPr>
      <w:r>
        <w:rPr>
          <w:rFonts w:hint="eastAsia" w:ascii="仿宋_GB2312" w:eastAsia="仿宋_GB2312" w:cs="Times New Roman"/>
          <w:color w:val="000000"/>
          <w:sz w:val="32"/>
          <w:szCs w:val="36"/>
        </w:rPr>
        <w:t>全面实施知识产权战略，坚持保护知识产权就是保护创新的重要理念，紧扣“广清一体化”和“入珠融湾”主题，深度对接广深港澳科技创新走廊，以支撑经济社会发展、促进转型升级、提高发展质量和效益为主线，加强知识产权创造运用，实行更加严格的知识产权保护，深化知识产权重点领域改革，进一步实现知识产权与经济社会发展的深度融合，努力把清远建成为粤北生态发展区科技创新示范市和环粤港澳大湾区创新发展先行市，为我市经济社会高质量发展提供强力支撑和不竭动能。</w:t>
      </w:r>
    </w:p>
    <w:p>
      <w:pPr>
        <w:autoSpaceDE w:val="0"/>
        <w:autoSpaceDN w:val="0"/>
        <w:adjustRightInd w:val="0"/>
        <w:snapToGrid w:val="0"/>
        <w:spacing w:line="580" w:lineRule="exact"/>
        <w:ind w:firstLine="658"/>
        <w:outlineLvl w:val="1"/>
        <w:rPr>
          <w:rFonts w:ascii="楷体_GB2312" w:eastAsia="楷体_GB2312"/>
          <w:bCs/>
          <w:color w:val="000000"/>
          <w:sz w:val="32"/>
          <w:szCs w:val="20"/>
        </w:rPr>
      </w:pPr>
      <w:bookmarkStart w:id="18" w:name="_Toc76458235"/>
      <w:r>
        <w:rPr>
          <w:rFonts w:hint="eastAsia" w:ascii="楷体_GB2312" w:eastAsia="楷体_GB2312"/>
          <w:bCs/>
          <w:color w:val="000000"/>
          <w:sz w:val="32"/>
          <w:szCs w:val="20"/>
        </w:rPr>
        <w:t>（一）加强知识产权制度建设</w:t>
      </w:r>
      <w:bookmarkEnd w:id="18"/>
    </w:p>
    <w:p>
      <w:pPr>
        <w:autoSpaceDE w:val="0"/>
        <w:autoSpaceDN w:val="0"/>
        <w:adjustRightInd w:val="0"/>
        <w:snapToGrid w:val="0"/>
        <w:spacing w:line="580" w:lineRule="exact"/>
        <w:ind w:firstLine="658"/>
        <w:rPr>
          <w:rFonts w:ascii="Times New Roman" w:hAnsi="Times New Roman" w:eastAsia="仿宋_GB2312" w:cs="Times New Roman"/>
          <w:snapToGrid w:val="0"/>
          <w:color w:val="000000"/>
          <w:kern w:val="0"/>
          <w:sz w:val="32"/>
          <w:szCs w:val="32"/>
        </w:rPr>
      </w:pPr>
      <w:r>
        <w:rPr>
          <w:rFonts w:hint="eastAsia" w:ascii="仿宋_GB2312" w:eastAsia="仿宋_GB2312" w:cs="Times New Roman"/>
          <w:b/>
          <w:color w:val="000000"/>
          <w:sz w:val="32"/>
          <w:szCs w:val="36"/>
        </w:rPr>
        <w:t>建立知识产权高标准保护政策体系。</w:t>
      </w:r>
      <w:r>
        <w:rPr>
          <w:rFonts w:hint="eastAsia" w:ascii="仿宋_GB2312" w:eastAsia="仿宋_GB2312" w:cs="Times New Roman"/>
          <w:color w:val="000000"/>
          <w:sz w:val="32"/>
          <w:szCs w:val="36"/>
        </w:rPr>
        <w:t>严格执行民法典及知识产权相关法律法规，</w:t>
      </w:r>
      <w:r>
        <w:rPr>
          <w:rFonts w:hint="eastAsia" w:ascii="Times New Roman" w:hAnsi="Times New Roman" w:eastAsia="仿宋_GB2312" w:cs="Times New Roman"/>
          <w:snapToGrid w:val="0"/>
          <w:color w:val="000000"/>
          <w:kern w:val="0"/>
          <w:sz w:val="32"/>
          <w:szCs w:val="32"/>
        </w:rPr>
        <w:t>落实国家、省关于强化知识产权保护的若干措施，印发实施《清远市关于强化知识产权保护的实施方案》，深化知识产权保护工作机制体制改革，加快完善行政执法与司法保护衔接、行政裁决与多元化纠纷调解并行、民事诉讼与纠纷调解对接等制度体系，</w:t>
      </w:r>
      <w:r>
        <w:rPr>
          <w:rFonts w:ascii="Times New Roman" w:hAnsi="Times New Roman" w:eastAsia="仿宋_GB2312" w:cs="Times New Roman"/>
          <w:snapToGrid w:val="0"/>
          <w:color w:val="000000"/>
          <w:kern w:val="0"/>
          <w:sz w:val="32"/>
          <w:szCs w:val="32"/>
        </w:rPr>
        <w:t>研究加强</w:t>
      </w:r>
      <w:r>
        <w:rPr>
          <w:rFonts w:hint="eastAsia" w:ascii="Times New Roman" w:hAnsi="Times New Roman" w:eastAsia="仿宋_GB2312" w:cs="Times New Roman"/>
          <w:snapToGrid w:val="0"/>
          <w:color w:val="000000"/>
          <w:kern w:val="0"/>
          <w:sz w:val="32"/>
          <w:szCs w:val="32"/>
        </w:rPr>
        <w:t>电子商务</w:t>
      </w:r>
      <w:r>
        <w:rPr>
          <w:rFonts w:ascii="Times New Roman" w:hAnsi="Times New Roman" w:eastAsia="仿宋_GB2312" w:cs="Times New Roman"/>
          <w:snapToGrid w:val="0"/>
          <w:color w:val="000000"/>
          <w:kern w:val="0"/>
          <w:sz w:val="32"/>
          <w:szCs w:val="32"/>
        </w:rPr>
        <w:t>、</w:t>
      </w:r>
      <w:r>
        <w:rPr>
          <w:rFonts w:hint="eastAsia" w:ascii="Times New Roman" w:hAnsi="Times New Roman" w:eastAsia="仿宋_GB2312" w:cs="Times New Roman"/>
          <w:snapToGrid w:val="0"/>
          <w:color w:val="000000"/>
          <w:kern w:val="0"/>
          <w:sz w:val="32"/>
          <w:szCs w:val="32"/>
        </w:rPr>
        <w:t>重点展会、直播带货</w:t>
      </w:r>
      <w:r>
        <w:rPr>
          <w:rFonts w:ascii="Times New Roman" w:hAnsi="Times New Roman" w:eastAsia="仿宋_GB2312" w:cs="Times New Roman"/>
          <w:snapToGrid w:val="0"/>
          <w:color w:val="000000"/>
          <w:kern w:val="0"/>
          <w:sz w:val="32"/>
          <w:szCs w:val="32"/>
        </w:rPr>
        <w:t>等新领域新业态知识产权保护措施，</w:t>
      </w:r>
      <w:r>
        <w:rPr>
          <w:rFonts w:hint="eastAsia" w:ascii="Times New Roman" w:hAnsi="Times New Roman" w:eastAsia="仿宋_GB2312" w:cs="Times New Roman"/>
          <w:snapToGrid w:val="0"/>
          <w:color w:val="000000"/>
          <w:kern w:val="0"/>
          <w:sz w:val="32"/>
          <w:szCs w:val="32"/>
        </w:rPr>
        <w:t>探索</w:t>
      </w:r>
      <w:r>
        <w:rPr>
          <w:rFonts w:hint="eastAsia" w:ascii="仿宋_GB2312" w:eastAsia="仿宋_GB2312" w:cs="Times New Roman"/>
          <w:color w:val="000000"/>
          <w:sz w:val="32"/>
          <w:szCs w:val="36"/>
        </w:rPr>
        <w:t>制定新业态、新领域创新成果的知识产权保护办法，</w:t>
      </w:r>
      <w:r>
        <w:rPr>
          <w:rFonts w:hint="eastAsia" w:ascii="Times New Roman" w:hAnsi="Times New Roman" w:eastAsia="仿宋_GB2312" w:cs="Times New Roman"/>
          <w:snapToGrid w:val="0"/>
          <w:color w:val="000000"/>
          <w:kern w:val="0"/>
          <w:sz w:val="32"/>
          <w:szCs w:val="32"/>
        </w:rPr>
        <w:t>研究出台</w:t>
      </w:r>
      <w:r>
        <w:rPr>
          <w:rFonts w:hint="eastAsia" w:ascii="仿宋_GB2312" w:eastAsia="仿宋_GB2312" w:cs="Times New Roman"/>
          <w:color w:val="000000"/>
          <w:sz w:val="32"/>
          <w:szCs w:val="36"/>
        </w:rPr>
        <w:t>地理标志、瑶族</w:t>
      </w:r>
      <w:r>
        <w:rPr>
          <w:rFonts w:ascii="Times New Roman" w:hAnsi="Times New Roman" w:eastAsia="仿宋_GB2312" w:cs="Times New Roman"/>
          <w:snapToGrid w:val="0"/>
          <w:color w:val="000000"/>
          <w:kern w:val="0"/>
          <w:sz w:val="32"/>
          <w:szCs w:val="32"/>
        </w:rPr>
        <w:t>传统文化、传统知识、非物质文化遗产、文化文物创意产品等</w:t>
      </w:r>
      <w:r>
        <w:rPr>
          <w:rFonts w:hint="eastAsia" w:ascii="Times New Roman" w:hAnsi="Times New Roman" w:eastAsia="仿宋_GB2312" w:cs="Times New Roman"/>
          <w:snapToGrid w:val="0"/>
          <w:color w:val="000000"/>
          <w:kern w:val="0"/>
          <w:sz w:val="32"/>
          <w:szCs w:val="32"/>
        </w:rPr>
        <w:t>清远特色产业知识产权保护措施，积极构建知识产权大保护、严保护格局。</w:t>
      </w:r>
    </w:p>
    <w:p>
      <w:pPr>
        <w:autoSpaceDE w:val="0"/>
        <w:autoSpaceDN w:val="0"/>
        <w:adjustRightInd w:val="0"/>
        <w:snapToGrid w:val="0"/>
        <w:spacing w:line="580" w:lineRule="exact"/>
        <w:ind w:firstLine="658"/>
        <w:rPr>
          <w:rFonts w:ascii="仿宋_GB2312" w:eastAsia="仿宋_GB2312" w:cs="Times New Roman"/>
          <w:color w:val="000000"/>
          <w:sz w:val="32"/>
          <w:szCs w:val="36"/>
        </w:rPr>
      </w:pPr>
      <w:r>
        <w:rPr>
          <w:rFonts w:ascii="Times New Roman" w:hAnsi="Times New Roman" w:eastAsia="仿宋_GB2312" w:cs="Times New Roman"/>
          <w:b/>
          <w:snapToGrid w:val="0"/>
          <w:color w:val="000000"/>
          <w:kern w:val="0"/>
          <w:sz w:val="32"/>
          <w:szCs w:val="32"/>
        </w:rPr>
        <w:t>实施知识产权高质量创造激励政策。</w:t>
      </w:r>
      <w:r>
        <w:rPr>
          <w:rFonts w:hint="eastAsia" w:ascii="仿宋_GB2312" w:eastAsia="仿宋_GB2312" w:cs="Times New Roman"/>
          <w:color w:val="000000"/>
          <w:sz w:val="32"/>
          <w:szCs w:val="36"/>
        </w:rPr>
        <w:t>完善激励政策，制定全面推进我市知识产权工作的实施办法和优秀专利成果的奖励办法，加大对高价值专利的扶持奖励力度，</w:t>
      </w:r>
      <w:r>
        <w:rPr>
          <w:rFonts w:hint="eastAsia" w:ascii="仿宋_GB2312" w:hAnsi="仿宋_GB2312" w:eastAsia="仿宋_GB2312" w:cs="仿宋_GB2312"/>
          <w:sz w:val="32"/>
          <w:szCs w:val="32"/>
        </w:rPr>
        <w:t>引导企事业单位</w:t>
      </w:r>
      <w:r>
        <w:rPr>
          <w:rFonts w:hint="eastAsia" w:ascii="Times New Roman" w:hAnsi="Times New Roman" w:eastAsia="仿宋_GB2312" w:cs="Times New Roman"/>
          <w:snapToGrid w:val="0"/>
          <w:kern w:val="0"/>
          <w:sz w:val="32"/>
          <w:szCs w:val="32"/>
        </w:rPr>
        <w:t>根据发明人（团队）贡献程度及发明所获经济效益以约定方式给予合理报酬，提高科研人员创新成果转化转移的收益分配比例，加大政府扶持资金直接奖励实际发明人的比例。</w:t>
      </w:r>
      <w:r>
        <w:rPr>
          <w:rFonts w:hint="eastAsia" w:ascii="仿宋_GB2312" w:eastAsia="仿宋_GB2312" w:cs="Times New Roman"/>
          <w:color w:val="000000"/>
          <w:sz w:val="32"/>
          <w:szCs w:val="36"/>
        </w:rPr>
        <w:t>强化科技创新政策与专利政策的衔接，将高质量专利产出作为科技创新计划项目立项的重要指标，提高高质量专利在科技计划项目评价中的权重。建立高价值专利评价指标体系，围绕专利（专利组合）的市场、法律、技术、经济价值以及专利池构建、专利联盟建设情况，开展高价值专利评价，形成有利于高价值专利产出的鲜明导向。</w:t>
      </w:r>
    </w:p>
    <w:p>
      <w:pPr>
        <w:autoSpaceDE w:val="0"/>
        <w:autoSpaceDN w:val="0"/>
        <w:adjustRightInd w:val="0"/>
        <w:snapToGrid w:val="0"/>
        <w:spacing w:line="580" w:lineRule="exact"/>
        <w:ind w:firstLine="658"/>
        <w:rPr>
          <w:rFonts w:ascii="仿宋_GB2312" w:eastAsia="仿宋_GB2312" w:cs="Times New Roman"/>
          <w:color w:val="000000"/>
          <w:sz w:val="32"/>
          <w:szCs w:val="36"/>
        </w:rPr>
      </w:pPr>
      <w:r>
        <w:rPr>
          <w:rFonts w:hint="eastAsia" w:ascii="仿宋_GB2312" w:eastAsia="仿宋_GB2312" w:cs="Times New Roman"/>
          <w:b/>
          <w:color w:val="000000"/>
          <w:sz w:val="32"/>
          <w:szCs w:val="36"/>
        </w:rPr>
        <w:t>建立以知识产权为重要内容创新驱动发展评价制度。</w:t>
      </w:r>
      <w:r>
        <w:rPr>
          <w:rFonts w:hint="eastAsia" w:ascii="仿宋_GB2312" w:eastAsia="仿宋_GB2312" w:cs="Times New Roman"/>
          <w:color w:val="000000"/>
          <w:sz w:val="32"/>
          <w:szCs w:val="36"/>
        </w:rPr>
        <w:t>将知识产权工作纳入创新型经济发展的考核指标体系。国有资产管理部门探索建立经营业绩、知识产权和创新并重的国有企业考评模式。教育主管部门将高校知识产权管理工作纳入高校科技工作绩效考核体系。加大知识产权在各类政府奖励制度中的评价比重。把专利创造、运用、保护绩效等知识产权指标作为政府资助项目评审、考核的重要依据。</w:t>
      </w:r>
    </w:p>
    <w:p>
      <w:pPr>
        <w:autoSpaceDE w:val="0"/>
        <w:autoSpaceDN w:val="0"/>
        <w:adjustRightInd w:val="0"/>
        <w:snapToGrid w:val="0"/>
        <w:spacing w:line="580" w:lineRule="exact"/>
        <w:ind w:firstLine="658"/>
        <w:rPr>
          <w:rFonts w:ascii="仿宋_GB2312" w:eastAsia="仿宋_GB2312" w:cs="Times New Roman"/>
          <w:color w:val="000000"/>
          <w:sz w:val="32"/>
          <w:szCs w:val="36"/>
        </w:rPr>
      </w:pPr>
      <w:r>
        <w:rPr>
          <w:rFonts w:hint="eastAsia" w:ascii="仿宋_GB2312" w:eastAsia="仿宋_GB2312" w:cs="Times New Roman"/>
          <w:b/>
          <w:color w:val="000000"/>
          <w:sz w:val="32"/>
          <w:szCs w:val="36"/>
        </w:rPr>
        <w:t>推行重大经济活动知识产权分析评议制度。</w:t>
      </w:r>
      <w:r>
        <w:rPr>
          <w:rFonts w:hint="eastAsia" w:ascii="仿宋_GB2312" w:eastAsia="仿宋_GB2312" w:cs="Times New Roman"/>
          <w:color w:val="000000"/>
          <w:sz w:val="32"/>
          <w:szCs w:val="36"/>
        </w:rPr>
        <w:t>探索科技计划知识产权目标评估制度，试点开展重大产业规划、重大经济和科技活动知识产权评议项目，完善跨部门知识产权评议工作机制，有效规避政府财政资金投入重大项目的知识产权风险。研究建立重大项目知识产权跟踪管理机制，对财政资金支持的科技成果转化、战略性新兴产业培育、重大技术改造等项目，在合同中明确知识产权产出目标。加强企业涉外重大经济贸易活动知识产权风险评估和预警，指导涉外企业规范知识产权管理。</w:t>
      </w:r>
    </w:p>
    <w:p>
      <w:pPr>
        <w:autoSpaceDE w:val="0"/>
        <w:autoSpaceDN w:val="0"/>
        <w:adjustRightInd w:val="0"/>
        <w:snapToGrid w:val="0"/>
        <w:spacing w:line="580" w:lineRule="exact"/>
        <w:ind w:firstLine="658"/>
        <w:outlineLvl w:val="1"/>
        <w:rPr>
          <w:rFonts w:ascii="楷体_GB2312" w:eastAsia="楷体_GB2312"/>
          <w:bCs/>
          <w:color w:val="000000"/>
          <w:sz w:val="32"/>
          <w:szCs w:val="20"/>
        </w:rPr>
      </w:pPr>
      <w:bookmarkStart w:id="19" w:name="_Toc76458236"/>
      <w:r>
        <w:rPr>
          <w:rFonts w:hint="eastAsia" w:ascii="楷体_GB2312" w:eastAsia="楷体_GB2312"/>
          <w:bCs/>
          <w:color w:val="000000"/>
          <w:sz w:val="32"/>
          <w:szCs w:val="20"/>
        </w:rPr>
        <w:t>（二）强化知识产权高标准保护</w:t>
      </w:r>
      <w:bookmarkEnd w:id="19"/>
    </w:p>
    <w:p>
      <w:pPr>
        <w:autoSpaceDE w:val="0"/>
        <w:autoSpaceDN w:val="0"/>
        <w:adjustRightInd w:val="0"/>
        <w:spacing w:line="580" w:lineRule="exact"/>
        <w:ind w:firstLine="658"/>
        <w:rPr>
          <w:rFonts w:ascii="仿宋_GB2312" w:eastAsia="仿宋_GB2312" w:cs="Times New Roman"/>
          <w:color w:val="000000"/>
          <w:sz w:val="32"/>
          <w:szCs w:val="36"/>
        </w:rPr>
      </w:pPr>
      <w:r>
        <w:rPr>
          <w:rFonts w:hint="eastAsia" w:ascii="仿宋_GB2312" w:eastAsia="仿宋_GB2312" w:cs="Times New Roman"/>
          <w:b/>
          <w:bCs/>
          <w:color w:val="000000"/>
          <w:sz w:val="32"/>
          <w:szCs w:val="36"/>
        </w:rPr>
        <w:t>加强知识产权司法保护。</w:t>
      </w:r>
      <w:r>
        <w:rPr>
          <w:rFonts w:hint="eastAsia" w:ascii="仿宋_GB2312" w:eastAsia="仿宋_GB2312" w:cs="Times New Roman"/>
          <w:color w:val="000000"/>
          <w:sz w:val="32"/>
          <w:szCs w:val="36"/>
        </w:rPr>
        <w:t>聚焦保护创新和优化营商环境，以打击侵犯商业秘密、假冒注册商标、跨国境制售假、侵犯重点领域著作权等犯罪为重点，开展打击侵犯知识产权犯罪专项行动。对侵犯知识产权重大案件挂牌督办、提前介入，依法快捕快诉，形成打击侵犯知识产权犯罪高压态势。强化打击知识产权犯罪制度建设，探索完善数据化打假情报导侦工作机制。依法加大判赔力度，充分发挥惩罚性赔偿制度的威慑作用。合理适用民事诉讼举证责任规则，积极推行文书提交令和律师调查令制度，依法减轻权利人的维权负担。加强适用保全措施，及时有效制止侵权行为。完善诉调对接机制，健全知识产权纠纷调解协议司法确认机制。深入推进知识产权民事、刑事、行政案件“三审合一”审判机制改革，促进法律适用和审判标准统一。完善技术类知识产权审判工作。健全知识产权案件分流机制，推动案件“繁简分流”改革，实现简案快审、繁案精审。深化知识产权案件和外观设计专利侵权案件速裁制度改革。健全重大案件公开审理、案件异地执行机制</w:t>
      </w:r>
    </w:p>
    <w:p>
      <w:pPr>
        <w:autoSpaceDE w:val="0"/>
        <w:autoSpaceDN w:val="0"/>
        <w:adjustRightInd w:val="0"/>
        <w:spacing w:line="580" w:lineRule="exact"/>
        <w:ind w:firstLine="658"/>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6"/>
        </w:rPr>
        <w:t>加强知识产权行政保护。</w:t>
      </w:r>
      <w:r>
        <w:rPr>
          <w:rFonts w:hint="eastAsia" w:ascii="仿宋_GB2312" w:hAnsi="仿宋_GB2312" w:eastAsia="仿宋_GB2312" w:cs="仿宋_GB2312"/>
          <w:color w:val="000000"/>
          <w:sz w:val="32"/>
          <w:szCs w:val="32"/>
        </w:rPr>
        <w:t>强化各行政管理部门和执法部门间的协作配合，定期开展打击侵权假冒行动，重点打击制售假冒伪劣名优产品、新科技产品、新能源产品、网络侵权盗版等危害企业创新发展的犯罪行为和社会影响大、群众反映强烈的制售假药品、假食品、假农资、假日化、假机电等犯罪活动。实施专业市场知识产权保护计划，重点整治小商品、家用电器、服饰、汽配、图书及音像制品等专业市场，依法处理各类知识产权侵权假冒案件，指导专业市场建立知识产权保护自律机制。扎</w:t>
      </w:r>
      <w:r>
        <w:rPr>
          <w:rFonts w:hint="eastAsia" w:ascii="仿宋_GB2312" w:eastAsia="仿宋_GB2312" w:cs="Times New Roman"/>
          <w:color w:val="000000"/>
          <w:sz w:val="32"/>
          <w:szCs w:val="36"/>
        </w:rPr>
        <w:t>实推进软件正版化，对全市党政机关和国有企业软件正版化情况检查全覆盖，着力推进金融、新闻出版、医疗、教育等领域逐步实现软件正版化，完善使用正版软件长效机制将软件采购纳入审计范畴。</w:t>
      </w:r>
      <w:r>
        <w:rPr>
          <w:rFonts w:hint="eastAsia" w:ascii="仿宋_GB2312" w:hAnsi="仿宋_GB2312" w:eastAsia="仿宋_GB2312" w:cs="仿宋_GB2312"/>
          <w:color w:val="000000"/>
          <w:sz w:val="32"/>
          <w:szCs w:val="32"/>
        </w:rPr>
        <w:t>加强大型商业场所、电子商务、展会等领域知识产权管理和监督力度，引导企业加强知识产权自我管理和约束，建立涵盖合同签订、采购、销售等环节的知识产权验证制度。</w:t>
      </w:r>
      <w:r>
        <w:rPr>
          <w:rFonts w:hint="eastAsia" w:ascii="仿宋_GB2312" w:hAnsi="仿宋_GB2312" w:eastAsia="仿宋_GB2312" w:cs="仿宋_GB2312"/>
          <w:sz w:val="32"/>
          <w:szCs w:val="32"/>
        </w:rPr>
        <w:t>加强奥林匹克标志、官方标志和特殊标志保护。</w:t>
      </w:r>
    </w:p>
    <w:p>
      <w:pPr>
        <w:pStyle w:val="2"/>
        <w:spacing w:line="580" w:lineRule="exact"/>
        <w:ind w:left="-5" w:leftChars="0" w:firstLine="6"/>
      </w:pPr>
      <w:r>
        <w:rPr>
          <w:rFonts w:hint="eastAsia" w:ascii="仿宋_GB2312" w:hAnsi="仿宋_GB2312" w:eastAsia="仿宋_GB2312" w:cs="仿宋_GB2312"/>
          <w:b/>
          <w:bCs/>
          <w:color w:val="000000"/>
          <w:sz w:val="32"/>
          <w:szCs w:val="32"/>
        </w:rPr>
        <w:t xml:space="preserve">    加强知识产权海关保护。</w:t>
      </w:r>
      <w:r>
        <w:rPr>
          <w:rFonts w:hint="eastAsia" w:ascii="仿宋_GB2312" w:eastAsia="仿宋_GB2312" w:cs="Times New Roman"/>
          <w:color w:val="000000"/>
          <w:sz w:val="32"/>
          <w:szCs w:val="36"/>
        </w:rPr>
        <w:t>支持、鼓励、引导企业进行知识产权海关保护备案。加强对通过中国香港、台湾等地区转运的侵权货物的重点监控。持续加强对输往北美、欧洲、南美、非洲、“一带一路”沿线国家和地区的侵权货物的监管。对于进出境邮递物品，加强与邮政企业等部门的联系配合和信息交流。加强对涉嫌侵犯重点保护企业及产品知识产权的风险分析与查控，严厉打击进出口侵犯知识产权违法活动。完善与其他行政执法机关的执法合作机制，提高执法透明度和办案效率。</w:t>
      </w:r>
    </w:p>
    <w:p>
      <w:pPr>
        <w:autoSpaceDE w:val="0"/>
        <w:autoSpaceDN w:val="0"/>
        <w:adjustRightInd w:val="0"/>
        <w:spacing w:line="580" w:lineRule="exact"/>
        <w:ind w:firstLine="658"/>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推进知识产权社会信用体系建设。</w:t>
      </w:r>
      <w:r>
        <w:rPr>
          <w:rFonts w:hint="eastAsia" w:ascii="仿宋_GB2312" w:eastAsia="仿宋_GB2312" w:cs="Times New Roman"/>
          <w:color w:val="000000"/>
          <w:sz w:val="32"/>
          <w:szCs w:val="36"/>
        </w:rPr>
        <w:t>依法加强知识产权领域自然人失信信息的采集和报送。建立完善知识产权信息归集与公示制度，将知识产权行政处罚、抽查检查结果等涉企信息，并依法公示。建立完善市场主体诚信档案“黑名单”制度，将知识产权侵权假冒企业纳入市场监管领域“双随机、一公开”重点抽查名单。健全失信联合惩戒机制。鼓励失信主体通过消除不良社会影响等方式修复信用。畅通各类社会监督渠道，提高知识产权举报投诉受理和处理能力。推进知识产权领域以信用为基础的分级分类监管试点工作，加强全市知识产权领域诚信体系建设。</w:t>
      </w:r>
    </w:p>
    <w:p>
      <w:pPr>
        <w:autoSpaceDE w:val="0"/>
        <w:autoSpaceDN w:val="0"/>
        <w:adjustRightInd w:val="0"/>
        <w:spacing w:line="580" w:lineRule="exact"/>
        <w:ind w:firstLine="658"/>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完善知识产权维权援助体系。</w:t>
      </w:r>
      <w:r>
        <w:rPr>
          <w:rFonts w:hint="eastAsia" w:ascii="仿宋_GB2312" w:eastAsia="仿宋_GB2312" w:cs="Times New Roman"/>
          <w:color w:val="000000"/>
          <w:sz w:val="32"/>
          <w:szCs w:val="36"/>
        </w:rPr>
        <w:t>完善知识产权维权援助体系，建立健全市县两级知识产权维权援助工作体系，建设知识产权维权援助、举报投诉“一站式”服务平台，支持高新区、产业园区等重点工业园区，建立知识产权维权援助服务工站，完善工作机制。健全知识产权举报投诉工作体系，完善举报投诉案件移送督办、案情反馈、信息共享、举报奖励等工作制度。鼓励和引导重点产业领域、高新技术产业发达地区建立产业知识产权保护联盟，共享预警信息，共担知识产权风险。</w:t>
      </w:r>
    </w:p>
    <w:p>
      <w:pPr>
        <w:spacing w:line="580" w:lineRule="exact"/>
        <w:ind w:firstLine="658"/>
        <w:rPr>
          <w:rFonts w:ascii="仿宋_GB2312" w:eastAsia="仿宋_GB2312" w:cs="Times New Roman"/>
          <w:color w:val="000000"/>
          <w:sz w:val="32"/>
          <w:szCs w:val="36"/>
        </w:rPr>
      </w:pPr>
      <w:r>
        <w:rPr>
          <w:rFonts w:hint="eastAsia" w:ascii="仿宋_GB2312" w:hAnsi="仿宋_GB2312" w:eastAsia="仿宋_GB2312" w:cs="仿宋_GB2312"/>
          <w:b/>
          <w:bCs/>
          <w:color w:val="000000"/>
          <w:sz w:val="32"/>
          <w:szCs w:val="32"/>
        </w:rPr>
        <w:t>健全知识产权纠纷多元化解决机制</w:t>
      </w:r>
      <w:r>
        <w:rPr>
          <w:rFonts w:ascii="仿宋_GB2312" w:hAnsi="仿宋_GB2312" w:eastAsia="仿宋_GB2312" w:cs="仿宋_GB2312"/>
          <w:b/>
          <w:bCs/>
          <w:color w:val="000000"/>
          <w:sz w:val="32"/>
          <w:szCs w:val="32"/>
        </w:rPr>
        <w:t>。</w:t>
      </w:r>
      <w:r>
        <w:rPr>
          <w:rFonts w:hint="eastAsia" w:ascii="仿宋_GB2312" w:eastAsia="仿宋_GB2312" w:cs="Times New Roman"/>
          <w:color w:val="000000"/>
          <w:sz w:val="32"/>
          <w:szCs w:val="36"/>
        </w:rPr>
        <w:t>加强知识产权协同保护体系建设，综合运用法律、行政、经济、技术、社会治理等手段强化知识产权保护，增强系统保护能力。鼓励企业通过市场化方式设立知识产权保护维权互助基金。完善知识产权仲裁、调解、公证工作机制，培育和发展仲裁机构、调解组织和公证机构，支持提升知识产权案件办理能力。全面推行公职律师、公司律师、法律顾问制度，做好知识产权纠纷调解、案件代理、普法宣传等工作。鼓励行业协会、商会建立知识产权保护自律和信息沟通机制。建立健全志愿者制度，调动社会力量积极参与知识产权保护治理。</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8522" w:type="dxa"/>
            <w:tcBorders>
              <w:top w:val="single" w:color="auto" w:sz="4" w:space="0"/>
              <w:left w:val="single" w:color="auto" w:sz="4" w:space="0"/>
              <w:bottom w:val="single" w:color="auto" w:sz="4" w:space="0"/>
              <w:right w:val="single" w:color="auto" w:sz="4" w:space="0"/>
            </w:tcBorders>
            <w:shd w:val="clear" w:color="auto" w:fill="33CCCC"/>
            <w:vAlign w:val="center"/>
          </w:tcPr>
          <w:p>
            <w:pPr>
              <w:autoSpaceDN w:val="0"/>
              <w:snapToGrid w:val="0"/>
              <w:spacing w:before="0" w:beforeAutospacing="0" w:line="240" w:lineRule="auto"/>
              <w:jc w:val="center"/>
              <w:rPr>
                <w:rFonts w:eastAsia="黑体" w:cs="Times New Roman"/>
                <w:color w:val="000000"/>
                <w:sz w:val="28"/>
                <w:szCs w:val="28"/>
              </w:rPr>
            </w:pPr>
            <w:r>
              <w:rPr>
                <w:rFonts w:hint="eastAsia" w:ascii="黑体" w:hAnsi="黑体" w:eastAsia="黑体"/>
                <w:bCs/>
                <w:color w:val="000000"/>
                <w:kern w:val="0"/>
                <w:sz w:val="28"/>
                <w:szCs w:val="28"/>
              </w:rPr>
              <w:t>专栏2</w:t>
            </w:r>
            <w:r>
              <w:rPr>
                <w:rFonts w:ascii="黑体" w:hAnsi="黑体" w:eastAsia="黑体"/>
                <w:bCs/>
                <w:color w:val="000000"/>
                <w:kern w:val="0"/>
                <w:sz w:val="28"/>
                <w:szCs w:val="28"/>
              </w:rPr>
              <w:t xml:space="preserve">  </w:t>
            </w:r>
            <w:r>
              <w:rPr>
                <w:rFonts w:hint="eastAsia" w:ascii="黑体" w:hAnsi="黑体" w:eastAsia="黑体"/>
                <w:bCs/>
                <w:color w:val="000000"/>
                <w:kern w:val="0"/>
                <w:sz w:val="28"/>
                <w:szCs w:val="28"/>
              </w:rPr>
              <w:t>实施知识产权严保护工程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9"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pStyle w:val="10"/>
              <w:rPr>
                <w:rFonts w:ascii="仿宋_GB2312" w:hAnsi="仿宋_GB2312" w:eastAsia="仿宋_GB2312" w:cs="仿宋_GB2312"/>
                <w:sz w:val="28"/>
              </w:rPr>
            </w:pPr>
            <w:r>
              <w:rPr>
                <w:rFonts w:hint="eastAsia" w:ascii="楷体_GB2312" w:hAnsi="楷体_GB2312" w:eastAsia="楷体_GB2312" w:cs="楷体_GB2312"/>
                <w:sz w:val="28"/>
              </w:rPr>
              <w:t xml:space="preserve">    </w:t>
            </w:r>
            <w:r>
              <w:rPr>
                <w:rFonts w:hint="eastAsia" w:ascii="仿宋_GB2312" w:hAnsi="仿宋_GB2312" w:eastAsia="仿宋_GB2312" w:cs="仿宋_GB2312"/>
                <w:sz w:val="28"/>
              </w:rPr>
              <w:t>强化知识产权行政执法。围绕重点创新领域、侵权高发地和制造业集中地，定期开展专项检查执法活动，严厉打击知识产权侵权违法行为，对恶意侵权、重复侵权等情节恶劣的违法行为依法从重处罚。</w:t>
            </w:r>
          </w:p>
          <w:p>
            <w:pPr>
              <w:pStyle w:val="10"/>
              <w:rPr>
                <w:rFonts w:ascii="仿宋_GB2312" w:hAnsi="仿宋_GB2312" w:eastAsia="仿宋_GB2312" w:cs="仿宋_GB2312"/>
                <w:sz w:val="28"/>
              </w:rPr>
            </w:pPr>
            <w:r>
              <w:rPr>
                <w:rFonts w:hint="eastAsia" w:ascii="仿宋_GB2312" w:hAnsi="仿宋_GB2312" w:eastAsia="仿宋_GB2312" w:cs="仿宋_GB2312"/>
                <w:sz w:val="28"/>
              </w:rPr>
              <w:t xml:space="preserve">    规范知识产权证据标准。规范知识产权案件相关证据标准，完善行政执法办案程序，促进行政执法规范化。推进行政执法和刑事司法立案标准协调衔接，完善案件移送要求和证据标准。建立激励当事人积极、主动提供证据的诉讼机制，严格执行知识产权民事诉讼证据规则，减轻权利人举证责任负担。</w:t>
            </w:r>
          </w:p>
          <w:p>
            <w:pPr>
              <w:pStyle w:val="10"/>
            </w:pPr>
            <w:r>
              <w:rPr>
                <w:rFonts w:hint="eastAsia" w:ascii="仿宋_GB2312" w:hAnsi="仿宋_GB2312" w:eastAsia="仿宋_GB2312" w:cs="仿宋_GB2312"/>
                <w:sz w:val="28"/>
              </w:rPr>
              <w:t xml:space="preserve">    实行惩罚性赔偿制度。加快落实侵权惩罚性赔偿制度，研究采取没收违法所得、销毁侵权假冒商品等措施，提高侵权法定赔偿额上限，加大损害赔偿力度，发挥惩罚性赔偿制度的威慑作用。强化民事司法保护，有效执行惩罚性赔偿制度。</w:t>
            </w:r>
          </w:p>
        </w:tc>
      </w:tr>
    </w:tbl>
    <w:p>
      <w:pPr>
        <w:autoSpaceDE w:val="0"/>
        <w:autoSpaceDN w:val="0"/>
        <w:adjustRightInd w:val="0"/>
        <w:spacing w:line="580" w:lineRule="exact"/>
        <w:ind w:firstLine="658"/>
        <w:outlineLvl w:val="1"/>
        <w:rPr>
          <w:rFonts w:ascii="楷体_GB2312" w:eastAsia="楷体_GB2312"/>
          <w:bCs/>
          <w:color w:val="000000"/>
          <w:sz w:val="32"/>
          <w:szCs w:val="20"/>
        </w:rPr>
      </w:pPr>
      <w:bookmarkStart w:id="20" w:name="_Toc76458237"/>
      <w:r>
        <w:rPr>
          <w:rFonts w:hint="eastAsia" w:ascii="楷体_GB2312" w:eastAsia="楷体_GB2312"/>
          <w:bCs/>
          <w:color w:val="000000"/>
          <w:sz w:val="32"/>
          <w:szCs w:val="20"/>
        </w:rPr>
        <w:t>（三）加强关键领域自主知识产权创造和储备</w:t>
      </w:r>
      <w:bookmarkEnd w:id="20"/>
    </w:p>
    <w:p>
      <w:pPr>
        <w:autoSpaceDE w:val="0"/>
        <w:autoSpaceDN w:val="0"/>
        <w:adjustRightInd w:val="0"/>
        <w:spacing w:line="580" w:lineRule="exact"/>
        <w:ind w:firstLine="658"/>
        <w:rPr>
          <w:rFonts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深入实施高价值专利培育计划。</w:t>
      </w:r>
      <w:r>
        <w:rPr>
          <w:rFonts w:hint="eastAsia" w:ascii="仿宋_GB2312" w:hAnsi="仿宋_GB2312" w:eastAsia="仿宋_GB2312" w:cs="仿宋_GB2312"/>
          <w:bCs/>
          <w:color w:val="000000"/>
          <w:sz w:val="32"/>
          <w:szCs w:val="32"/>
        </w:rPr>
        <w:t>推动有条件的企业、高校院所、知识产权服务机构联合组建高价值专利培育布局中心，以战略性产业、新兴产业、传统优势产业集群为重点，围绕产业链部署创新链，围绕创新链布局专利链，开展技术攻关，在主要技术领域创造一批创新水平高、权利状态稳定、市场竞争力强的高价值专利和专利组合。指导各类创新主体根据不同研发阶段的特点研究制定相应的专利战略，加强研发项目专利情报分析预警和专利布局，强化研发全过程的专利跟踪分析，保证高价值专利培育活动有效开展。</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8522" w:type="dxa"/>
            <w:tcBorders>
              <w:top w:val="single" w:color="auto" w:sz="4" w:space="0"/>
              <w:left w:val="single" w:color="auto" w:sz="4" w:space="0"/>
              <w:bottom w:val="single" w:color="auto" w:sz="4" w:space="0"/>
              <w:right w:val="single" w:color="auto" w:sz="4" w:space="0"/>
            </w:tcBorders>
            <w:shd w:val="clear" w:color="auto" w:fill="33CCCC"/>
            <w:vAlign w:val="center"/>
          </w:tcPr>
          <w:p>
            <w:pPr>
              <w:adjustRightInd w:val="0"/>
              <w:snapToGrid w:val="0"/>
              <w:spacing w:line="240" w:lineRule="auto"/>
              <w:jc w:val="center"/>
              <w:rPr>
                <w:rFonts w:eastAsia="黑体" w:cs="Times New Roman"/>
                <w:color w:val="000000"/>
                <w:sz w:val="28"/>
                <w:szCs w:val="28"/>
              </w:rPr>
            </w:pPr>
            <w:r>
              <w:rPr>
                <w:rFonts w:hint="eastAsia" w:ascii="黑体" w:hAnsi="黑体" w:eastAsia="黑体"/>
                <w:b/>
                <w:color w:val="000000"/>
                <w:kern w:val="0"/>
                <w:sz w:val="28"/>
                <w:szCs w:val="28"/>
              </w:rPr>
              <w:t>专栏3</w:t>
            </w:r>
            <w:r>
              <w:rPr>
                <w:rFonts w:ascii="黑体" w:hAnsi="黑体" w:eastAsia="黑体"/>
                <w:b/>
                <w:color w:val="000000"/>
                <w:kern w:val="0"/>
                <w:sz w:val="28"/>
                <w:szCs w:val="28"/>
              </w:rPr>
              <w:t xml:space="preserve">  </w:t>
            </w:r>
            <w:r>
              <w:rPr>
                <w:rFonts w:hint="eastAsia" w:ascii="黑体" w:hAnsi="黑体" w:eastAsia="黑体"/>
                <w:b/>
                <w:color w:val="000000"/>
                <w:kern w:val="0"/>
                <w:sz w:val="28"/>
                <w:szCs w:val="28"/>
              </w:rPr>
              <w:t>高价值专利培育工程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9"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pStyle w:val="10"/>
              <w:rPr>
                <w:rFonts w:ascii="仿宋_GB2312" w:hAnsi="仿宋_GB2312" w:eastAsia="仿宋_GB2312" w:cs="仿宋_GB2312"/>
                <w:kern w:val="0"/>
                <w:sz w:val="28"/>
                <w:szCs w:val="28"/>
              </w:rPr>
            </w:pPr>
            <w:r>
              <w:rPr>
                <w:rFonts w:hint="eastAsia" w:ascii="楷体_GB2312" w:hAnsi="楷体_GB2312" w:eastAsia="楷体_GB2312" w:cs="楷体_GB2312"/>
                <w:kern w:val="0"/>
                <w:sz w:val="28"/>
                <w:szCs w:val="28"/>
              </w:rPr>
              <w:t xml:space="preserve">    </w:t>
            </w:r>
            <w:r>
              <w:rPr>
                <w:rFonts w:hint="eastAsia" w:ascii="仿宋_GB2312" w:hAnsi="仿宋_GB2312" w:eastAsia="仿宋_GB2312" w:cs="仿宋_GB2312"/>
                <w:kern w:val="0"/>
                <w:sz w:val="28"/>
                <w:szCs w:val="28"/>
              </w:rPr>
              <w:t>积极培育中国专利奖、广东专利奖项目。每年筛选一批优质专利技术项目，推荐申报广东专利奖或中国专利奖，对获得中国专利奖、广东专利奖的项目及牵头单位分档次给予财政奖励。</w:t>
            </w:r>
          </w:p>
          <w:p>
            <w:pPr>
              <w:pStyle w:val="1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实施一批高价值培育布局项目。围绕我市重点发展的战略性新兴产业和特色优势产业，培育一批市场竞争力强、具有较强前瞻性、能够引领产业发展的高价值专利。以企业为主体，依托各类创新平台，实施一批产学研知深度合作的高价值培育布局项目。</w:t>
            </w:r>
          </w:p>
          <w:p>
            <w:pPr>
              <w:pStyle w:val="10"/>
              <w:rPr>
                <w:rFonts w:ascii="楷体_GB2312" w:eastAsia="楷体_GB2312"/>
                <w:color w:val="000000"/>
              </w:rPr>
            </w:pPr>
            <w:r>
              <w:rPr>
                <w:rFonts w:hint="eastAsia" w:ascii="仿宋_GB2312" w:hAnsi="仿宋_GB2312" w:eastAsia="仿宋_GB2312" w:cs="仿宋_GB2312"/>
                <w:kern w:val="0"/>
                <w:sz w:val="28"/>
                <w:szCs w:val="28"/>
              </w:rPr>
              <w:t xml:space="preserve">    到2025年，每万人口高价值发明专利拥有量力争达到1.2件以上。</w:t>
            </w:r>
          </w:p>
        </w:tc>
      </w:tr>
    </w:tbl>
    <w:p>
      <w:pPr>
        <w:autoSpaceDE w:val="0"/>
        <w:autoSpaceDN w:val="0"/>
        <w:adjustRightInd w:val="0"/>
        <w:spacing w:line="580" w:lineRule="exact"/>
        <w:rPr>
          <w:rFonts w:ascii="Times New Roman" w:hAnsi="Times New Roman" w:eastAsia="仿宋_GB2312" w:cs="Times New Roman"/>
          <w:snapToGrid w:val="0"/>
          <w:color w:val="000000"/>
          <w:kern w:val="0"/>
          <w:sz w:val="32"/>
          <w:szCs w:val="32"/>
        </w:rPr>
      </w:pP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
          <w:bCs/>
          <w:color w:val="000000"/>
          <w:sz w:val="32"/>
          <w:szCs w:val="32"/>
        </w:rPr>
        <w:t>加强高价值商标品牌培育。</w:t>
      </w:r>
      <w:r>
        <w:rPr>
          <w:rFonts w:hint="eastAsia" w:ascii="Times New Roman" w:hAnsi="Times New Roman" w:eastAsia="仿宋_GB2312" w:cs="Times New Roman"/>
          <w:snapToGrid w:val="0"/>
          <w:color w:val="000000"/>
          <w:kern w:val="0"/>
          <w:sz w:val="32"/>
          <w:szCs w:val="32"/>
        </w:rPr>
        <w:t>围绕产业结构优化转型、提升自主品牌企业市场竞争力等目标，支持企业强化品牌运作，争创高价值重点商标、驰名商标、海外注册商标，并将高价值商标拥有情况纳入企业创新绩效评价体系。鼓励围绕地方特色优势产业，积极申请集体商标、证明商标，挖掘培育清远鸡、英德红茶、连州菜心、连州水晶梨、阳山西洋菜等地理标志产品和地理标志商标，打造一批特色鲜明、竞争力强、市场信誉好的高知名度商标。加强对我市政府指定的地理标志产品申请机构或拟申请认定的协会和企业的相关申报工作的培训和指导，提升企业运用地理标志资源促进相关产业经济持续发展的能力。加大对商标注册的支持力度，对获得认定的驰名商标、集体商标、证明商标给予奖励。</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8522" w:type="dxa"/>
            <w:tcBorders>
              <w:top w:val="single" w:color="auto" w:sz="4" w:space="0"/>
              <w:left w:val="single" w:color="auto" w:sz="4" w:space="0"/>
              <w:bottom w:val="single" w:color="auto" w:sz="4" w:space="0"/>
              <w:right w:val="single" w:color="auto" w:sz="4" w:space="0"/>
            </w:tcBorders>
            <w:shd w:val="clear" w:color="auto" w:fill="33CCCC"/>
            <w:vAlign w:val="center"/>
          </w:tcPr>
          <w:p>
            <w:pPr>
              <w:autoSpaceDN w:val="0"/>
              <w:snapToGrid w:val="0"/>
              <w:spacing w:before="0" w:beforeAutospacing="0"/>
              <w:jc w:val="center"/>
              <w:rPr>
                <w:rFonts w:ascii="黑体" w:hAnsi="黑体" w:eastAsia="黑体" w:cs="Times New Roman"/>
                <w:bCs/>
                <w:color w:val="000000"/>
                <w:kern w:val="0"/>
                <w:sz w:val="28"/>
                <w:szCs w:val="28"/>
              </w:rPr>
            </w:pPr>
            <w:r>
              <w:rPr>
                <w:rFonts w:hint="eastAsia" w:ascii="黑体" w:hAnsi="黑体" w:eastAsia="黑体"/>
                <w:bCs/>
                <w:color w:val="000000"/>
                <w:kern w:val="0"/>
                <w:sz w:val="28"/>
                <w:szCs w:val="28"/>
              </w:rPr>
              <w:t>专栏4</w:t>
            </w:r>
            <w:r>
              <w:rPr>
                <w:rFonts w:ascii="黑体" w:hAnsi="黑体" w:eastAsia="黑体"/>
                <w:bCs/>
                <w:color w:val="000000"/>
                <w:kern w:val="0"/>
                <w:sz w:val="28"/>
                <w:szCs w:val="28"/>
              </w:rPr>
              <w:t xml:space="preserve">  </w:t>
            </w:r>
            <w:r>
              <w:rPr>
                <w:rFonts w:hint="eastAsia" w:ascii="黑体" w:hAnsi="黑体" w:eastAsia="黑体"/>
                <w:bCs/>
                <w:color w:val="000000"/>
                <w:kern w:val="0"/>
                <w:sz w:val="28"/>
                <w:szCs w:val="28"/>
              </w:rPr>
              <w:t>区域品牌示范区建设工程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pStyle w:val="10"/>
              <w:rPr>
                <w:rFonts w:ascii="楷体_GB2312" w:eastAsia="楷体_GB2312"/>
                <w:color w:val="FF0000"/>
              </w:rPr>
            </w:pPr>
            <w:r>
              <w:rPr>
                <w:rFonts w:hint="eastAsia" w:ascii="楷体_GB2312" w:hAnsi="楷体_GB2312" w:eastAsia="楷体_GB2312" w:cs="楷体_GB2312"/>
                <w:kern w:val="0"/>
                <w:sz w:val="28"/>
                <w:szCs w:val="28"/>
              </w:rPr>
              <w:t xml:space="preserve">   </w:t>
            </w:r>
            <w:r>
              <w:rPr>
                <w:rFonts w:hint="eastAsia" w:ascii="仿宋_GB2312" w:hAnsi="仿宋_GB2312" w:eastAsia="仿宋_GB2312" w:cs="仿宋_GB2312"/>
                <w:kern w:val="0"/>
                <w:sz w:val="28"/>
                <w:szCs w:val="28"/>
              </w:rPr>
              <w:t xml:space="preserve"> 深入挖掘本地特色资源，鼓励注册商标和申请地理标志保护，加强产业集群区域品牌建设，实施区域品牌示范区建设项目，加快培育一批具有较强市场竞争力名优品牌。</w:t>
            </w:r>
          </w:p>
        </w:tc>
      </w:tr>
    </w:tbl>
    <w:p>
      <w:pPr>
        <w:autoSpaceDE w:val="0"/>
        <w:autoSpaceDN w:val="0"/>
        <w:adjustRightInd w:val="0"/>
        <w:spacing w:line="580" w:lineRule="exact"/>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 xml:space="preserve">    </w:t>
      </w:r>
      <w:r>
        <w:rPr>
          <w:rFonts w:hint="eastAsia" w:ascii="仿宋_GB2312" w:hAnsi="仿宋_GB2312" w:eastAsia="仿宋_GB2312" w:cs="仿宋_GB2312"/>
          <w:b/>
          <w:bCs/>
          <w:color w:val="000000"/>
          <w:sz w:val="32"/>
          <w:szCs w:val="32"/>
        </w:rPr>
        <w:t>促进高影响力版权创造。</w:t>
      </w:r>
      <w:r>
        <w:rPr>
          <w:rFonts w:hint="eastAsia" w:ascii="Times New Roman" w:hAnsi="Times New Roman" w:eastAsia="仿宋_GB2312" w:cs="Times New Roman"/>
          <w:snapToGrid w:val="0"/>
          <w:color w:val="000000"/>
          <w:kern w:val="0"/>
          <w:sz w:val="32"/>
          <w:szCs w:val="32"/>
        </w:rPr>
        <w:t>推进核心版权产业发展，鼓励文化艺术作品创新，促进文化与技术相结合，提升高影响力版权创造能力。</w:t>
      </w:r>
      <w:r>
        <w:rPr>
          <w:rFonts w:hint="eastAsia" w:ascii="仿宋_GB2312" w:eastAsia="仿宋_GB2312" w:cs="Times New Roman"/>
          <w:sz w:val="32"/>
          <w:szCs w:val="36"/>
        </w:rPr>
        <w:t>加快培育发展网络视听、移动多媒体、数字出版、动漫游戏、创意设计、3D和巨幕电影等新兴文化产业的版权精品。</w:t>
      </w:r>
      <w:r>
        <w:rPr>
          <w:rFonts w:hint="eastAsia" w:ascii="Times New Roman" w:hAnsi="Times New Roman" w:eastAsia="仿宋_GB2312" w:cs="Times New Roman"/>
          <w:snapToGrid w:val="0"/>
          <w:color w:val="000000"/>
          <w:kern w:val="0"/>
          <w:sz w:val="32"/>
          <w:szCs w:val="32"/>
        </w:rPr>
        <w:t>推进作品登记制度改革，提升著作权登记数量和质量。开展清远市版权兴业示范园区（集群）、版权兴业示范单位、最有价值版权作品创建工作，扶持推荐符合条件的企业参选国家级和省级版权兴业示范园区（集群）、版权兴业示范单位、最有价值版权作品，发挥版权示范创建工作对版权产业发展的引导带动作用。</w:t>
      </w:r>
    </w:p>
    <w:p>
      <w:pPr>
        <w:autoSpaceDE w:val="0"/>
        <w:autoSpaceDN w:val="0"/>
        <w:adjustRightInd w:val="0"/>
        <w:spacing w:line="580" w:lineRule="exact"/>
        <w:ind w:firstLine="658"/>
        <w:rPr>
          <w:rFonts w:ascii="Times New Roman" w:hAnsi="Times New Roman" w:eastAsia="仿宋_GB2312" w:cs="Times New Roman"/>
          <w:snapToGrid w:val="0"/>
          <w:color w:val="000000"/>
          <w:kern w:val="0"/>
          <w:sz w:val="32"/>
          <w:szCs w:val="32"/>
        </w:rPr>
      </w:pPr>
      <w:r>
        <w:rPr>
          <w:rFonts w:hint="eastAsia" w:ascii="仿宋_GB2312" w:hAnsi="仿宋_GB2312" w:eastAsia="仿宋_GB2312" w:cs="仿宋_GB2312"/>
          <w:b/>
          <w:bCs/>
          <w:color w:val="000000"/>
          <w:sz w:val="32"/>
          <w:szCs w:val="32"/>
        </w:rPr>
        <w:t>增强企业知识产权创造能力。</w:t>
      </w:r>
      <w:r>
        <w:rPr>
          <w:rFonts w:hint="eastAsia" w:ascii="Times New Roman" w:hAnsi="Times New Roman" w:eastAsia="仿宋_GB2312" w:cs="Times New Roman"/>
          <w:snapToGrid w:val="0"/>
          <w:color w:val="000000"/>
          <w:kern w:val="0"/>
          <w:sz w:val="32"/>
          <w:szCs w:val="32"/>
        </w:rPr>
        <w:t>推动创新要素向企业集聚，加强以企业为主体的知识产权创造载体建设，推动建设企业技术中心、工程中心等各类高水平研发机构，进一步完善以企业为主体、市场为导向、产学研相结合的自主知识产权创造体系。强化企业创新主体地位，引导企业普遍建立知识产权管理制度，加快推进高新技术企业、科技型中小企业、规模以上工业企业、国有企业高质量贯彻实施知识产权管理规范，提高重点企业知识产权创造、运用、管理能力。培育发展一批知识产权优势、示范企业，壮大知识产权强企群。提升高新技术企业、规模以上工业企业发明专利拥有率。</w:t>
      </w:r>
    </w:p>
    <w:p>
      <w:pPr>
        <w:autoSpaceDE w:val="0"/>
        <w:autoSpaceDN w:val="0"/>
        <w:adjustRightInd w:val="0"/>
        <w:spacing w:line="580" w:lineRule="exact"/>
        <w:ind w:firstLine="658"/>
        <w:rPr>
          <w:rFonts w:ascii="Times New Roman" w:hAnsi="Times New Roman" w:eastAsia="仿宋_GB2312" w:cs="Times New Roman"/>
          <w:snapToGrid w:val="0"/>
          <w:color w:val="000000"/>
          <w:kern w:val="0"/>
          <w:sz w:val="32"/>
          <w:szCs w:val="32"/>
        </w:rPr>
      </w:pPr>
      <w:r>
        <w:rPr>
          <w:rFonts w:hint="eastAsia" w:ascii="仿宋_GB2312" w:hAnsi="仿宋_GB2312" w:eastAsia="仿宋_GB2312" w:cs="仿宋_GB2312"/>
          <w:b/>
          <w:bCs/>
          <w:color w:val="000000"/>
          <w:sz w:val="32"/>
          <w:szCs w:val="32"/>
        </w:rPr>
        <w:t>提升高校院所知识产权创造能力。</w:t>
      </w:r>
      <w:r>
        <w:rPr>
          <w:rFonts w:hint="eastAsia" w:ascii="Times New Roman" w:hAnsi="Times New Roman" w:eastAsia="仿宋_GB2312" w:cs="Times New Roman"/>
          <w:snapToGrid w:val="0"/>
          <w:color w:val="000000"/>
          <w:kern w:val="0"/>
          <w:sz w:val="32"/>
          <w:szCs w:val="32"/>
        </w:rPr>
        <w:t>深化科研体制改革，将获得自主知识产权的数量和质量作为专业技术职称评定、职级晋升，以及重点实验室、重点科研基地等技术创新平台认定的重要条件。推动高校院所开展知识产权标准化管理试点工作，全面加强知识产权全流程管理，促进知识产权创造水平提升。引导高校、科研院所、各类实验室等研发创新主体与知识产权服务业深度融合，开展协同创新、集成攻关，围绕重点技术领域和产业链、技术链、价值链等关键环节，加强知识产权培育布局，构建高水平专利组合，增强区域产业核心竞争力。</w:t>
      </w:r>
    </w:p>
    <w:p>
      <w:pPr>
        <w:autoSpaceDE w:val="0"/>
        <w:autoSpaceDN w:val="0"/>
        <w:adjustRightInd w:val="0"/>
        <w:spacing w:line="580" w:lineRule="exact"/>
        <w:ind w:firstLine="658"/>
        <w:rPr>
          <w:rFonts w:ascii="Times New Roman" w:hAnsi="Times New Roman" w:eastAsia="仿宋_GB2312" w:cs="Times New Roman"/>
          <w:snapToGrid w:val="0"/>
          <w:color w:val="000000"/>
          <w:kern w:val="0"/>
          <w:sz w:val="32"/>
          <w:szCs w:val="32"/>
        </w:rPr>
      </w:pPr>
      <w:r>
        <w:rPr>
          <w:rFonts w:hint="eastAsia" w:ascii="仿宋_GB2312" w:hAnsi="仿宋_GB2312" w:eastAsia="仿宋_GB2312" w:cs="仿宋_GB2312"/>
          <w:b/>
          <w:bCs/>
          <w:color w:val="000000"/>
          <w:sz w:val="32"/>
          <w:szCs w:val="32"/>
        </w:rPr>
        <w:t>严格规范知识产权申请注册行为。</w:t>
      </w:r>
      <w:r>
        <w:rPr>
          <w:rFonts w:hint="eastAsia" w:ascii="Times New Roman" w:hAnsi="Times New Roman" w:eastAsia="仿宋_GB2312" w:cs="Times New Roman"/>
          <w:snapToGrid w:val="0"/>
          <w:color w:val="000000"/>
          <w:kern w:val="0"/>
          <w:sz w:val="32"/>
          <w:szCs w:val="32"/>
        </w:rPr>
        <w:t>规范各级政府知识产权扶持政策，全面取消专利申请、商标注册环节的资助措施，逐步取消对各类专利授权资助。严厉打击不以创新和实施为目的知识产权申请注册行为，有效规制商标恶意注册、非正常专利申请。加强知识产权代理服务业监管，开展知识产权代理服务领域专项整治，落实有关扰乱知识产权工作秩序的信用惩戒措施，规范知识产权代理市场秩序。</w:t>
      </w:r>
    </w:p>
    <w:p>
      <w:pPr>
        <w:autoSpaceDE w:val="0"/>
        <w:autoSpaceDN w:val="0"/>
        <w:adjustRightInd w:val="0"/>
        <w:spacing w:line="580" w:lineRule="exact"/>
        <w:outlineLvl w:val="1"/>
        <w:rPr>
          <w:rFonts w:ascii="楷体_GB2312" w:eastAsia="楷体_GB2312"/>
          <w:bCs/>
          <w:color w:val="000000"/>
          <w:sz w:val="32"/>
          <w:szCs w:val="20"/>
        </w:rPr>
      </w:pPr>
      <w:r>
        <w:rPr>
          <w:rFonts w:hint="eastAsia" w:ascii="Times New Roman" w:hAnsi="Times New Roman" w:eastAsia="仿宋_GB2312" w:cs="Times New Roman"/>
          <w:snapToGrid w:val="0"/>
          <w:color w:val="000000"/>
          <w:kern w:val="0"/>
          <w:sz w:val="32"/>
          <w:szCs w:val="32"/>
        </w:rPr>
        <w:t xml:space="preserve">   </w:t>
      </w:r>
      <w:bookmarkStart w:id="21" w:name="_Toc76458238"/>
      <w:r>
        <w:rPr>
          <w:rFonts w:hint="eastAsia" w:ascii="楷体_GB2312" w:eastAsia="楷体_GB2312"/>
          <w:bCs/>
          <w:color w:val="000000"/>
          <w:sz w:val="32"/>
          <w:szCs w:val="20"/>
        </w:rPr>
        <w:t>（四）完善知识产权市场运行体制机制</w:t>
      </w:r>
      <w:bookmarkEnd w:id="21"/>
    </w:p>
    <w:p>
      <w:pPr>
        <w:autoSpaceDE w:val="0"/>
        <w:autoSpaceDN w:val="0"/>
        <w:adjustRightInd w:val="0"/>
        <w:spacing w:line="580" w:lineRule="exact"/>
        <w:ind w:firstLine="658"/>
        <w:rPr>
          <w:rFonts w:ascii="仿宋_GB2312" w:eastAsia="仿宋_GB2312" w:cs="Times New Roman"/>
          <w:color w:val="000000"/>
          <w:sz w:val="32"/>
          <w:szCs w:val="36"/>
        </w:rPr>
      </w:pPr>
      <w:r>
        <w:rPr>
          <w:rFonts w:hint="eastAsia" w:ascii="仿宋_GB2312" w:eastAsia="仿宋_GB2312" w:cs="Times New Roman"/>
          <w:b/>
          <w:color w:val="000000"/>
          <w:sz w:val="32"/>
          <w:szCs w:val="36"/>
        </w:rPr>
        <w:t>加强知识产权信息开发运用。</w:t>
      </w:r>
      <w:r>
        <w:rPr>
          <w:rFonts w:hint="eastAsia" w:ascii="仿宋_GB2312" w:eastAsia="仿宋_GB2312" w:cs="Times New Roman"/>
          <w:color w:val="000000"/>
          <w:sz w:val="32"/>
          <w:szCs w:val="36"/>
        </w:rPr>
        <w:t>建立完善知识产权信息开发运用长效机制，打造公益性知识产权信息服务平台，免费向科技型中小企业提供公益性信息服务，加强知识产权信息传播利用和资源开发。</w:t>
      </w:r>
      <w:r>
        <w:rPr>
          <w:rFonts w:hint="eastAsia" w:ascii="仿宋_GB2312" w:hAnsi="仿宋_GB2312" w:eastAsia="仿宋_GB2312" w:cs="仿宋_GB2312"/>
          <w:color w:val="000000"/>
          <w:sz w:val="32"/>
          <w:szCs w:val="32"/>
        </w:rPr>
        <w:t>建立重点产业专利数据库，推广应用专利信息研究分析成果，</w:t>
      </w:r>
      <w:r>
        <w:rPr>
          <w:rFonts w:hint="eastAsia" w:ascii="仿宋_GB2312" w:eastAsia="仿宋_GB2312" w:cs="Times New Roman"/>
          <w:color w:val="000000"/>
          <w:sz w:val="32"/>
          <w:szCs w:val="36"/>
        </w:rPr>
        <w:t>开展专利预警分析，把握产业发展态势，加强重点产业专利分析及动向监测，确立产业专利布局，</w:t>
      </w:r>
      <w:r>
        <w:rPr>
          <w:rFonts w:hint="eastAsia" w:ascii="仿宋_GB2312" w:hAnsi="仿宋_GB2312" w:eastAsia="仿宋_GB2312" w:cs="仿宋_GB2312"/>
          <w:color w:val="000000"/>
          <w:sz w:val="32"/>
          <w:szCs w:val="32"/>
        </w:rPr>
        <w:t>培育知识产权密集型产业。</w:t>
      </w:r>
      <w:r>
        <w:rPr>
          <w:rFonts w:hint="eastAsia" w:ascii="仿宋_GB2312" w:eastAsia="仿宋_GB2312" w:cs="Times New Roman"/>
          <w:color w:val="000000"/>
          <w:sz w:val="32"/>
          <w:szCs w:val="36"/>
        </w:rPr>
        <w:t>加强公共资源商标监测预警和地理标志产品信息的采集推送，助推乡村振兴和产业高质量发展。大力引进高端知识产权信息机构，发展知识产权信息商用化服务。</w:t>
      </w:r>
    </w:p>
    <w:p>
      <w:pPr>
        <w:autoSpaceDE w:val="0"/>
        <w:autoSpaceDN w:val="0"/>
        <w:adjustRightInd w:val="0"/>
        <w:spacing w:line="580" w:lineRule="exact"/>
        <w:ind w:firstLine="658"/>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促进知识产权成果转化。</w:t>
      </w:r>
      <w:r>
        <w:rPr>
          <w:rFonts w:hint="eastAsia" w:ascii="仿宋_GB2312" w:hAnsi="仿宋_GB2312" w:eastAsia="仿宋_GB2312" w:cs="仿宋_GB2312"/>
          <w:color w:val="000000"/>
          <w:sz w:val="32"/>
          <w:szCs w:val="32"/>
        </w:rPr>
        <w:t>出台促进知识产权成果转化的政策措施，鼓励知识产权交易运营，扶持优秀专利技术转化实施，提升专利技术产品产值。推动产业园区与高校、科研院所、国有企业加强合作，促进科技创新成果产权化、市场化、产业化。引导企业积极参与标准制定，将自主知识产权和重大专利技术转化为技术标准，提高标准中自主知识产权的含量，加强技术的推广和运用，抢占产业发展制高点。大力实施商标富农、地标兴农工程，推进农户、基地龙头企业、地理标志和农产品商标紧密结合的农产品经营模式，加强产业和区域品牌培育和运用，试点建设一批市级区域品牌示范区。</w:t>
      </w:r>
    </w:p>
    <w:p>
      <w:pPr>
        <w:autoSpaceDE w:val="0"/>
        <w:autoSpaceDN w:val="0"/>
        <w:adjustRightInd w:val="0"/>
        <w:spacing w:line="580" w:lineRule="exact"/>
        <w:ind w:firstLine="658"/>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加快推进知识产权市场化运营。</w:t>
      </w:r>
      <w:r>
        <w:rPr>
          <w:rFonts w:hint="eastAsia" w:ascii="仿宋_GB2312" w:hAnsi="仿宋_GB2312" w:eastAsia="仿宋_GB2312" w:cs="仿宋_GB2312"/>
          <w:color w:val="000000"/>
          <w:sz w:val="32"/>
          <w:szCs w:val="32"/>
        </w:rPr>
        <w:t>发挥政府引导、市场主导作用，加强重点产业知识产权运营，支持企业对其拥有的知识产权进行市场化运营，鼓励社会资本投资知识产权研发、运用和产业化，鼓励个人、组织将知识产权以作价入股方式创办企业，开展知识产权收储、开发、组合、投资等服务，盘活知识产权资产，加强具有自主知识产权的新技术新产品推广应用。鼓励高校院所技术转移中心开展知识产权运营服务，并通过优惠许可的方式，支持高校院所科研人员开展以专利产业化为目的的创新创业。鼓励知识产权代理机构向综合性服务机构转型，开展知识产权运营服务。</w:t>
      </w:r>
    </w:p>
    <w:tbl>
      <w:tblPr>
        <w:tblStyle w:val="25"/>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8240" w:type="dxa"/>
            <w:tcBorders>
              <w:top w:val="single" w:color="auto" w:sz="4" w:space="0"/>
              <w:left w:val="single" w:color="auto" w:sz="4" w:space="0"/>
              <w:bottom w:val="single" w:color="auto" w:sz="4" w:space="0"/>
              <w:right w:val="single" w:color="auto" w:sz="4" w:space="0"/>
            </w:tcBorders>
            <w:shd w:val="clear" w:color="auto" w:fill="33CCCC"/>
            <w:vAlign w:val="center"/>
          </w:tcPr>
          <w:p>
            <w:pPr>
              <w:autoSpaceDN w:val="0"/>
              <w:snapToGrid w:val="0"/>
              <w:jc w:val="center"/>
              <w:rPr>
                <w:rFonts w:eastAsia="黑体" w:cs="Times New Roman"/>
                <w:color w:val="000000"/>
                <w:sz w:val="28"/>
                <w:szCs w:val="28"/>
                <w:highlight w:val="yellow"/>
              </w:rPr>
            </w:pPr>
            <w:r>
              <w:rPr>
                <w:rFonts w:hint="eastAsia" w:ascii="黑体" w:hAnsi="黑体" w:eastAsia="黑体"/>
                <w:bCs/>
                <w:color w:val="000000"/>
                <w:kern w:val="0"/>
                <w:sz w:val="28"/>
                <w:szCs w:val="28"/>
              </w:rPr>
              <w:t xml:space="preserve">专栏5 </w:t>
            </w:r>
            <w:r>
              <w:rPr>
                <w:rFonts w:ascii="黑体" w:hAnsi="黑体" w:eastAsia="黑体"/>
                <w:bCs/>
                <w:color w:val="000000"/>
                <w:kern w:val="0"/>
                <w:sz w:val="28"/>
                <w:szCs w:val="28"/>
              </w:rPr>
              <w:t xml:space="preserve"> </w:t>
            </w:r>
            <w:r>
              <w:rPr>
                <w:rFonts w:hint="eastAsia" w:ascii="黑体" w:hAnsi="黑体" w:eastAsia="黑体"/>
                <w:bCs/>
                <w:color w:val="000000"/>
                <w:kern w:val="0"/>
                <w:sz w:val="28"/>
                <w:szCs w:val="28"/>
              </w:rPr>
              <w:t>专利技术转化实施工程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9" w:hRule="atLeast"/>
          <w:jc w:val="center"/>
        </w:trPr>
        <w:tc>
          <w:tcPr>
            <w:tcW w:w="8240" w:type="dxa"/>
            <w:tcBorders>
              <w:top w:val="single" w:color="auto" w:sz="4" w:space="0"/>
              <w:left w:val="single" w:color="auto" w:sz="4" w:space="0"/>
              <w:bottom w:val="single" w:color="auto" w:sz="4" w:space="0"/>
              <w:right w:val="single" w:color="auto" w:sz="4" w:space="0"/>
            </w:tcBorders>
            <w:vAlign w:val="center"/>
          </w:tcPr>
          <w:p>
            <w:pPr>
              <w:pStyle w:val="10"/>
              <w:spacing w:line="52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扶持专利技术实施计划。择优扶持一批技术水平高、市场前景好的本地优秀专利技术转化实施，使之形成产品乃至产业。</w:t>
            </w:r>
          </w:p>
          <w:p>
            <w:pPr>
              <w:pStyle w:val="10"/>
              <w:spacing w:line="520" w:lineRule="exact"/>
              <w:ind w:firstLine="560" w:firstLineChars="200"/>
              <w:rPr>
                <w:rFonts w:ascii="楷体_GB2312" w:hAnsi="楷体_GB2312" w:eastAsia="楷体_GB2312" w:cs="楷体_GB2312"/>
                <w:szCs w:val="28"/>
                <w:highlight w:val="yellow"/>
              </w:rPr>
            </w:pPr>
            <w:r>
              <w:rPr>
                <w:rFonts w:hint="eastAsia" w:ascii="仿宋_GB2312" w:hAnsi="仿宋_GB2312" w:eastAsia="仿宋_GB2312" w:cs="仿宋_GB2312"/>
                <w:kern w:val="0"/>
                <w:sz w:val="28"/>
                <w:szCs w:val="28"/>
              </w:rPr>
              <w:t>促进专利技术转移转化。围绕本地中小微企业技术需求，对接高校科研院所和国企专利资源，畅通技术要素流转渠道，促成一批高校院所和国企专利技术在清远成功落地转化。鼓励我市优秀专利技术对外许可转让。</w:t>
            </w:r>
          </w:p>
        </w:tc>
      </w:tr>
    </w:tbl>
    <w:p>
      <w:pPr>
        <w:autoSpaceDE w:val="0"/>
        <w:autoSpaceDN w:val="0"/>
        <w:adjustRightInd w:val="0"/>
        <w:spacing w:line="580" w:lineRule="exact"/>
        <w:ind w:firstLine="52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大力发展知识产权金融服务。</w:t>
      </w:r>
      <w:r>
        <w:rPr>
          <w:rFonts w:hint="eastAsia" w:ascii="仿宋_GB2312" w:hAnsi="仿宋_GB2312" w:eastAsia="仿宋_GB2312" w:cs="仿宋_GB2312"/>
          <w:color w:val="000000"/>
          <w:sz w:val="32"/>
          <w:szCs w:val="32"/>
        </w:rPr>
        <w:t>完善知识产权质押融资风险补偿机制、风险管理制度及扶持政策，推动开展知识产权投融资项目对接活动，促进知识产权质押融资上规模，缓解科技型中小微企业等创新主体融资难矛盾。支持银行、证券、保险、信托等机构开发知识产权融资服务产品，构建多元化、市场化知识产权金融体系。支持金融机构开办知识产权投融资业务，引导知识产权评估、交易、代理、法律等服务机构进入知识产权金融服务市场。支持依法合规的前提下开展互联网知识产权金融服务。探索建立知识产权质物退出机制，研究采用质权转股权、反向许可、拍卖等形式进行质物处置。</w:t>
      </w:r>
    </w:p>
    <w:tbl>
      <w:tblPr>
        <w:tblStyle w:val="25"/>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8240" w:type="dxa"/>
            <w:tcBorders>
              <w:top w:val="single" w:color="auto" w:sz="4" w:space="0"/>
              <w:left w:val="single" w:color="auto" w:sz="4" w:space="0"/>
              <w:bottom w:val="single" w:color="auto" w:sz="4" w:space="0"/>
              <w:right w:val="single" w:color="auto" w:sz="4" w:space="0"/>
            </w:tcBorders>
            <w:shd w:val="clear" w:color="auto" w:fill="33CCCC"/>
            <w:vAlign w:val="center"/>
          </w:tcPr>
          <w:p>
            <w:pPr>
              <w:autoSpaceDN w:val="0"/>
              <w:snapToGrid w:val="0"/>
              <w:jc w:val="center"/>
              <w:rPr>
                <w:rFonts w:eastAsia="黑体" w:cs="Times New Roman"/>
                <w:color w:val="000000"/>
                <w:sz w:val="28"/>
                <w:szCs w:val="28"/>
                <w:highlight w:val="yellow"/>
              </w:rPr>
            </w:pPr>
            <w:r>
              <w:rPr>
                <w:rFonts w:hint="eastAsia" w:ascii="黑体" w:hAnsi="黑体" w:eastAsia="黑体"/>
                <w:bCs/>
                <w:color w:val="000000"/>
                <w:kern w:val="0"/>
                <w:sz w:val="28"/>
                <w:szCs w:val="28"/>
              </w:rPr>
              <w:t xml:space="preserve">专栏6 </w:t>
            </w:r>
            <w:r>
              <w:rPr>
                <w:rFonts w:ascii="黑体" w:hAnsi="黑体" w:eastAsia="黑体"/>
                <w:bCs/>
                <w:color w:val="000000"/>
                <w:kern w:val="0"/>
                <w:sz w:val="28"/>
                <w:szCs w:val="28"/>
              </w:rPr>
              <w:t xml:space="preserve"> </w:t>
            </w:r>
            <w:r>
              <w:rPr>
                <w:rFonts w:hint="eastAsia" w:ascii="黑体" w:hAnsi="黑体" w:eastAsia="黑体"/>
                <w:bCs/>
                <w:color w:val="000000"/>
                <w:kern w:val="0"/>
                <w:sz w:val="28"/>
                <w:szCs w:val="28"/>
              </w:rPr>
              <w:t>知识产权金融创新工程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7" w:hRule="atLeast"/>
          <w:jc w:val="center"/>
        </w:trPr>
        <w:tc>
          <w:tcPr>
            <w:tcW w:w="8240" w:type="dxa"/>
            <w:tcBorders>
              <w:top w:val="single" w:color="auto" w:sz="4" w:space="0"/>
              <w:left w:val="single" w:color="auto" w:sz="4" w:space="0"/>
              <w:bottom w:val="single" w:color="auto" w:sz="4" w:space="0"/>
              <w:right w:val="single" w:color="auto" w:sz="4" w:space="0"/>
            </w:tcBorders>
            <w:vAlign w:val="center"/>
          </w:tcPr>
          <w:p>
            <w:pPr>
              <w:pStyle w:val="10"/>
              <w:spacing w:line="52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推动商标权、专利权、地理标志产品质押融资纳入知识产权质押融资风险补偿及扶持政策，探索开展知识产权质押融资风险补偿基金多样化运作，完善知识产权质物处置模式，扩大知识产权质押贷款规模。</w:t>
            </w:r>
          </w:p>
          <w:p>
            <w:pPr>
              <w:pStyle w:val="10"/>
              <w:spacing w:line="520" w:lineRule="exact"/>
              <w:ind w:firstLine="560" w:firstLineChars="200"/>
              <w:rPr>
                <w:rFonts w:ascii="楷体_GB2312" w:hAnsi="楷体_GB2312" w:eastAsia="楷体_GB2312" w:cs="楷体_GB2312"/>
                <w:sz w:val="28"/>
                <w:szCs w:val="28"/>
                <w:highlight w:val="yellow"/>
              </w:rPr>
            </w:pPr>
            <w:r>
              <w:rPr>
                <w:rFonts w:hint="eastAsia" w:ascii="仿宋_GB2312" w:hAnsi="仿宋_GB2312" w:eastAsia="仿宋_GB2312" w:cs="仿宋_GB2312"/>
                <w:kern w:val="0"/>
                <w:sz w:val="28"/>
                <w:szCs w:val="28"/>
              </w:rPr>
              <w:t>“十四五”期间，全市专利、商标质押融资金额累计达3亿元。</w:t>
            </w:r>
          </w:p>
        </w:tc>
      </w:tr>
    </w:tbl>
    <w:p>
      <w:pPr>
        <w:autoSpaceDE w:val="0"/>
        <w:autoSpaceDN w:val="0"/>
        <w:adjustRightInd w:val="0"/>
        <w:spacing w:line="580" w:lineRule="exact"/>
        <w:outlineLvl w:val="1"/>
        <w:rPr>
          <w:rFonts w:ascii="仿宋_GB2312" w:eastAsia="仿宋_GB2312" w:cs="Times New Roman"/>
          <w:bCs/>
          <w:color w:val="000000"/>
          <w:sz w:val="32"/>
          <w:szCs w:val="36"/>
        </w:rPr>
      </w:pPr>
      <w:r>
        <w:rPr>
          <w:rFonts w:hint="eastAsia" w:ascii="仿宋_GB2312" w:hAnsi="仿宋_GB2312" w:eastAsia="仿宋_GB2312" w:cs="仿宋_GB2312"/>
          <w:color w:val="000000"/>
          <w:sz w:val="32"/>
          <w:szCs w:val="32"/>
        </w:rPr>
        <w:t xml:space="preserve">   </w:t>
      </w:r>
      <w:bookmarkStart w:id="22" w:name="_Toc76458239"/>
      <w:r>
        <w:rPr>
          <w:rFonts w:hint="eastAsia" w:ascii="楷体_GB2312" w:eastAsia="楷体_GB2312"/>
          <w:bCs/>
          <w:color w:val="000000"/>
          <w:sz w:val="32"/>
          <w:szCs w:val="20"/>
        </w:rPr>
        <w:t>（五）深化知识产权与产业融合发展</w:t>
      </w:r>
      <w:bookmarkEnd w:id="22"/>
    </w:p>
    <w:p>
      <w:pPr>
        <w:autoSpaceDE w:val="0"/>
        <w:autoSpaceDN w:val="0"/>
        <w:adjustRightInd w:val="0"/>
        <w:spacing w:line="580" w:lineRule="exact"/>
        <w:ind w:firstLine="113"/>
        <w:rPr>
          <w:rFonts w:ascii="仿宋_GB2312" w:eastAsia="仿宋_GB2312" w:cs="Times New Roman"/>
          <w:color w:val="000000"/>
          <w:sz w:val="32"/>
          <w:szCs w:val="36"/>
        </w:rPr>
      </w:pPr>
      <w:r>
        <w:rPr>
          <w:rFonts w:hint="eastAsia" w:ascii="仿宋_GB2312" w:eastAsia="仿宋_GB2312" w:cs="Times New Roman"/>
          <w:b/>
          <w:color w:val="000000"/>
          <w:sz w:val="32"/>
          <w:szCs w:val="36"/>
        </w:rPr>
        <w:t xml:space="preserve">   促进战略性新兴产业创新发展。</w:t>
      </w:r>
      <w:r>
        <w:rPr>
          <w:rFonts w:hint="eastAsia" w:ascii="仿宋_GB2312" w:eastAsia="仿宋_GB2312" w:cs="Times New Roman"/>
          <w:color w:val="000000"/>
          <w:sz w:val="32"/>
          <w:szCs w:val="36"/>
        </w:rPr>
        <w:t>围绕新一代信息技术、生物制药、智能制造、汽车零部件、大数据、新材料、节能环保等先进制造业和新兴产业部署知识产权服务链，开展重点产业、重点企业专利导航服务计划</w:t>
      </w:r>
      <w:r>
        <w:rPr>
          <w:rFonts w:ascii="仿宋_GB2312" w:eastAsia="仿宋_GB2312" w:cs="Times New Roman"/>
          <w:color w:val="000000"/>
          <w:sz w:val="32"/>
          <w:szCs w:val="36"/>
        </w:rPr>
        <w:t>，</w:t>
      </w:r>
      <w:r>
        <w:rPr>
          <w:rFonts w:hint="eastAsia" w:ascii="仿宋_GB2312" w:eastAsia="仿宋_GB2312" w:cs="Times New Roman"/>
          <w:color w:val="000000"/>
          <w:sz w:val="32"/>
          <w:szCs w:val="36"/>
        </w:rPr>
        <w:t>发挥专利信息对产业、企业创新发展的引领作用，引导战略性新兴产业集聚区和龙头企业加强知识产权布局设计。支持战略性新兴产业龙头企业带动配套企业建立专业性或区域性专利联盟，构建行业专利池，提升行业自主创新和知识产权保护水平。研究发布知识产权环境信息，跟踪研究重点产业领域知识产权动向。</w:t>
      </w:r>
    </w:p>
    <w:tbl>
      <w:tblPr>
        <w:tblStyle w:val="2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8520" w:type="dxa"/>
            <w:tcBorders>
              <w:top w:val="single" w:color="auto" w:sz="4" w:space="0"/>
              <w:left w:val="single" w:color="auto" w:sz="4" w:space="0"/>
              <w:bottom w:val="single" w:color="auto" w:sz="4" w:space="0"/>
              <w:right w:val="single" w:color="auto" w:sz="4" w:space="0"/>
            </w:tcBorders>
            <w:shd w:val="clear" w:color="auto" w:fill="33CCCC"/>
            <w:vAlign w:val="center"/>
          </w:tcPr>
          <w:p>
            <w:pPr>
              <w:autoSpaceDN w:val="0"/>
              <w:snapToGrid w:val="0"/>
              <w:spacing w:before="0" w:beforeAutospacing="0" w:line="240" w:lineRule="auto"/>
              <w:jc w:val="center"/>
              <w:rPr>
                <w:rFonts w:eastAsia="黑体" w:cs="Times New Roman"/>
                <w:color w:val="000000"/>
                <w:sz w:val="28"/>
                <w:szCs w:val="28"/>
              </w:rPr>
            </w:pPr>
            <w:r>
              <w:rPr>
                <w:rFonts w:hint="eastAsia" w:ascii="黑体" w:hAnsi="黑体" w:eastAsia="黑体"/>
                <w:bCs/>
                <w:color w:val="000000"/>
                <w:kern w:val="0"/>
                <w:sz w:val="28"/>
                <w:szCs w:val="28"/>
              </w:rPr>
              <w:t>专栏7</w:t>
            </w:r>
            <w:r>
              <w:rPr>
                <w:rFonts w:ascii="黑体" w:hAnsi="黑体" w:eastAsia="黑体"/>
                <w:bCs/>
                <w:color w:val="000000"/>
                <w:kern w:val="0"/>
                <w:sz w:val="28"/>
                <w:szCs w:val="28"/>
              </w:rPr>
              <w:t xml:space="preserve"> </w:t>
            </w:r>
            <w:r>
              <w:rPr>
                <w:rFonts w:hint="eastAsia" w:ascii="黑体" w:hAnsi="黑体" w:eastAsia="黑体"/>
                <w:bCs/>
                <w:color w:val="000000"/>
                <w:kern w:val="0"/>
                <w:sz w:val="28"/>
                <w:szCs w:val="28"/>
              </w:rPr>
              <w:t xml:space="preserve"> 重点产业专利导航工程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9" w:hRule="atLeast"/>
          <w:jc w:val="center"/>
        </w:trPr>
        <w:tc>
          <w:tcPr>
            <w:tcW w:w="8520" w:type="dxa"/>
            <w:tcBorders>
              <w:top w:val="single" w:color="auto" w:sz="4" w:space="0"/>
              <w:left w:val="single" w:color="auto" w:sz="4" w:space="0"/>
              <w:bottom w:val="single" w:color="auto" w:sz="4" w:space="0"/>
              <w:right w:val="single" w:color="auto" w:sz="4" w:space="0"/>
            </w:tcBorders>
            <w:vAlign w:val="top"/>
          </w:tcPr>
          <w:p>
            <w:pPr>
              <w:adjustRightInd w:val="0"/>
              <w:ind w:firstLine="549" w:firstLineChars="196"/>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以新一代信息技术、生物制药、智能制造、汽车零部件、新材料、新型陶瓷等战略性新兴产业为重点，开展专利导航，把握产业发展态势，确立产业专利布局，引导专利创造和集聚，推动新兴产业加快成为专利密集型产业。</w:t>
            </w:r>
          </w:p>
          <w:p>
            <w:pPr>
              <w:adjustRightInd w:val="0"/>
              <w:ind w:firstLine="549" w:firstLineChars="196"/>
            </w:pPr>
            <w:r>
              <w:rPr>
                <w:rFonts w:hint="eastAsia" w:ascii="仿宋_GB2312" w:hAnsi="仿宋_GB2312" w:eastAsia="仿宋_GB2312" w:cs="仿宋_GB2312"/>
                <w:kern w:val="0"/>
                <w:sz w:val="28"/>
                <w:szCs w:val="28"/>
              </w:rPr>
              <w:t>到2025年，知识产权深度融入战略性新兴产业集群发展，完成重点产业专利导航不少于5个。</w:t>
            </w:r>
          </w:p>
        </w:tc>
      </w:tr>
    </w:tbl>
    <w:p>
      <w:pPr>
        <w:autoSpaceDE w:val="0"/>
        <w:autoSpaceDN w:val="0"/>
        <w:adjustRightInd w:val="0"/>
        <w:spacing w:line="580" w:lineRule="exact"/>
        <w:ind w:firstLine="658"/>
        <w:rPr>
          <w:color w:val="000000"/>
        </w:rPr>
      </w:pPr>
      <w:r>
        <w:rPr>
          <w:rFonts w:hint="eastAsia" w:ascii="仿宋_GB2312" w:eastAsia="仿宋_GB2312" w:cs="Times New Roman"/>
          <w:b/>
          <w:color w:val="000000"/>
          <w:sz w:val="32"/>
          <w:szCs w:val="36"/>
        </w:rPr>
        <w:t>促进传统优势产业转型发展。</w:t>
      </w:r>
      <w:r>
        <w:rPr>
          <w:rFonts w:hint="eastAsia" w:ascii="仿宋_GB2312" w:eastAsia="仿宋_GB2312" w:cs="Times New Roman"/>
          <w:color w:val="000000"/>
          <w:sz w:val="32"/>
          <w:szCs w:val="36"/>
        </w:rPr>
        <w:t>围绕陶瓷、水泥、有色金属、鞋帽制造等传统优势产业，研究制定产业转型升级技术路线图和科技行动计划，实施重大关键技术、装备智能化和关键零部件的专利布局，建设产业专利数据库。加强产业核心技术专利的引进、消化、吸收和再创新，在关键技术环节形成专利储备、强化专利保护，引导传统产业加强技术改造，实施一批带动产业转型升级发展的制造工艺专利技术。建立健全以知识产权为核心的传统优势产业联盟、技术创新战略联盟，推动产业结构优化升级。</w:t>
      </w:r>
    </w:p>
    <w:p>
      <w:pPr>
        <w:autoSpaceDE w:val="0"/>
        <w:autoSpaceDN w:val="0"/>
        <w:adjustRightInd w:val="0"/>
        <w:spacing w:line="580" w:lineRule="exact"/>
        <w:ind w:firstLine="658"/>
        <w:rPr>
          <w:rFonts w:ascii="仿宋_GB2312" w:eastAsia="仿宋_GB2312" w:cs="Times New Roman"/>
          <w:color w:val="000000"/>
          <w:sz w:val="32"/>
          <w:szCs w:val="36"/>
        </w:rPr>
      </w:pPr>
      <w:r>
        <w:rPr>
          <w:rFonts w:hint="eastAsia" w:ascii="仿宋_GB2312" w:eastAsia="仿宋_GB2312" w:cs="Times New Roman"/>
          <w:b/>
          <w:color w:val="000000"/>
          <w:sz w:val="32"/>
          <w:szCs w:val="36"/>
        </w:rPr>
        <w:t>促进现代农业提质发展。</w:t>
      </w:r>
      <w:r>
        <w:rPr>
          <w:rFonts w:hint="eastAsia" w:ascii="仿宋_GB2312" w:eastAsia="仿宋_GB2312" w:cs="Times New Roman"/>
          <w:color w:val="000000"/>
          <w:sz w:val="32"/>
          <w:szCs w:val="36"/>
        </w:rPr>
        <w:t>实施地理标志运用促进工程，推进区域地理标志优势产业和品牌培育相结合，打造一批地理标志品牌服务机构。加大茶叶、草食动物、北江特色鱼、花卉苗木、水晶梨、连州菜心、清远鸡等地理标志农产品质量控制和特色品质保持，培育一批有重大价值的经济作物优良品种。围绕清远特色优势产业，加快注册一批农产品商标和地理标志，加强原产地域农产品知识产权保护和生态原产地产品保护。支持农户、基地、龙头企业与地理标志、涉农商标紧密结合，发展拥有知识产权、市场竞争力较强的农民专业合作社，推动农产品优势产业商标集群发展，推进现代农业品牌建设。力争推动更多特色鲜明、产品质量优异、市场前景广阔的地理标志产品纳入跨国跨区域地理标志互认互保范围，助力我市优质地理标志产品拓展海外市场，不断提升国际影响力和竞争力。</w:t>
      </w:r>
    </w:p>
    <w:p>
      <w:pPr>
        <w:autoSpaceDE w:val="0"/>
        <w:autoSpaceDN w:val="0"/>
        <w:adjustRightInd w:val="0"/>
        <w:spacing w:line="580" w:lineRule="exact"/>
        <w:ind w:firstLine="658"/>
        <w:rPr>
          <w:rFonts w:ascii="仿宋_GB2312" w:eastAsia="仿宋_GB2312" w:cs="Times New Roman"/>
          <w:color w:val="000000"/>
          <w:sz w:val="32"/>
          <w:szCs w:val="36"/>
        </w:rPr>
      </w:pPr>
      <w:r>
        <w:rPr>
          <w:rFonts w:hint="eastAsia" w:ascii="仿宋_GB2312" w:eastAsia="仿宋_GB2312" w:cs="Times New Roman"/>
          <w:b/>
          <w:color w:val="000000"/>
          <w:sz w:val="32"/>
          <w:szCs w:val="36"/>
        </w:rPr>
        <w:t>促进全域旅游品牌高质量发展。进</w:t>
      </w:r>
      <w:r>
        <w:rPr>
          <w:rFonts w:hint="eastAsia" w:ascii="仿宋_GB2312" w:eastAsia="仿宋_GB2312" w:cs="Times New Roman"/>
          <w:color w:val="000000"/>
          <w:sz w:val="32"/>
          <w:szCs w:val="36"/>
        </w:rPr>
        <w:t>一步擦亮“山水名城·岭南绿都”旅游品牌，打造“亲情温泉、激情漂流、热情民族、闲情山水、奇情溶洞、浓情美食”旅游精品，推动我市旅游发展品牌化。深入发掘历史遗迹、历史文物、名人故居、古建筑、古村落、古驿道等文化旅游资源，建设一批具有清远特色、民族特色的文化旅游名镇名街名村，推出一批红色旅游、文物古迹游、南粤古驿道游、生态与民族特色游线路，加强知名景区景点名称旅游商品商标开发和利用，推动其扩展注册为民族民间工艺品、特色食品等旅游商品商标。深入挖掘民族文化、生态文化内涵，发掘民族生活方式、技艺、风俗习惯等文化资源，举办壮家戏水节、瑶族盘王节等活动，打造传统节庆活动品牌。</w:t>
      </w:r>
    </w:p>
    <w:p>
      <w:pPr>
        <w:autoSpaceDE w:val="0"/>
        <w:autoSpaceDN w:val="0"/>
        <w:adjustRightInd w:val="0"/>
        <w:spacing w:line="580" w:lineRule="exact"/>
        <w:ind w:firstLine="658"/>
        <w:outlineLvl w:val="1"/>
        <w:rPr>
          <w:rFonts w:ascii="楷体_GB2312" w:eastAsia="楷体_GB2312"/>
          <w:bCs/>
          <w:color w:val="000000"/>
          <w:sz w:val="32"/>
          <w:szCs w:val="20"/>
        </w:rPr>
      </w:pPr>
      <w:bookmarkStart w:id="23" w:name="_Toc76458240"/>
      <w:r>
        <w:rPr>
          <w:rFonts w:hint="eastAsia" w:ascii="楷体_GB2312" w:eastAsia="楷体_GB2312"/>
          <w:bCs/>
          <w:color w:val="000000"/>
          <w:sz w:val="32"/>
          <w:szCs w:val="20"/>
        </w:rPr>
        <w:t>（六）构建便民利民的知识产权公共服务体系</w:t>
      </w:r>
      <w:bookmarkEnd w:id="23"/>
    </w:p>
    <w:p>
      <w:pPr>
        <w:autoSpaceDE w:val="0"/>
        <w:autoSpaceDN w:val="0"/>
        <w:adjustRightInd w:val="0"/>
        <w:spacing w:line="580" w:lineRule="exact"/>
        <w:ind w:firstLine="658"/>
        <w:rPr>
          <w:rFonts w:ascii="仿宋_GB2312" w:eastAsia="仿宋_GB2312" w:cs="Times New Roman"/>
          <w:color w:val="000000"/>
          <w:sz w:val="32"/>
          <w:szCs w:val="36"/>
        </w:rPr>
      </w:pPr>
      <w:r>
        <w:rPr>
          <w:rFonts w:hint="eastAsia" w:ascii="仿宋_GB2312" w:eastAsia="仿宋_GB2312" w:cs="Times New Roman"/>
          <w:b/>
          <w:color w:val="000000"/>
          <w:sz w:val="32"/>
          <w:szCs w:val="36"/>
        </w:rPr>
        <w:t>深化知识产权领域“放管服”改革。</w:t>
      </w:r>
      <w:r>
        <w:rPr>
          <w:rFonts w:hint="eastAsia" w:ascii="仿宋_GB2312" w:eastAsia="仿宋_GB2312" w:cs="Times New Roman"/>
          <w:color w:val="000000"/>
          <w:sz w:val="32"/>
          <w:szCs w:val="36"/>
        </w:rPr>
        <w:t>加强知识产权综合管理服务体系建设，综合提高行政管理服务能力。优化整合知识产权公共服务资源，实施“一站式”知识产权政务服务。</w:t>
      </w:r>
      <w:r>
        <w:rPr>
          <w:rFonts w:hint="eastAsia" w:eastAsia="仿宋_GB2312"/>
          <w:color w:val="000000"/>
          <w:sz w:val="32"/>
          <w:szCs w:val="20"/>
        </w:rPr>
        <w:t>加大知识产权领域简政放权力度，</w:t>
      </w:r>
      <w:r>
        <w:rPr>
          <w:rFonts w:hint="eastAsia" w:ascii="仿宋_GB2312" w:eastAsia="仿宋_GB2312" w:cs="Times New Roman"/>
          <w:color w:val="000000"/>
          <w:sz w:val="32"/>
          <w:szCs w:val="36"/>
        </w:rPr>
        <w:t>实现知识产权公共服务“一窗通办”和“网上办”，压缩业务办理时限。利用“粤省事</w:t>
      </w:r>
      <w:r>
        <w:rPr>
          <w:rFonts w:hint="eastAsia" w:ascii="微软雅黑" w:hAnsi="微软雅黑" w:eastAsia="微软雅黑" w:cs="微软雅黑"/>
          <w:color w:val="000000"/>
          <w:sz w:val="32"/>
          <w:szCs w:val="36"/>
        </w:rPr>
        <w:t>•</w:t>
      </w:r>
      <w:r>
        <w:rPr>
          <w:rFonts w:hint="eastAsia" w:ascii="仿宋_GB2312" w:hAnsi="仿宋_GB2312" w:eastAsia="仿宋_GB2312" w:cs="仿宋_GB2312"/>
          <w:color w:val="000000"/>
          <w:sz w:val="32"/>
          <w:szCs w:val="36"/>
        </w:rPr>
        <w:t>清远”向社会公开政</w:t>
      </w:r>
      <w:r>
        <w:rPr>
          <w:rFonts w:hint="eastAsia" w:ascii="仿宋_GB2312" w:eastAsia="仿宋_GB2312" w:cs="Times New Roman"/>
          <w:color w:val="000000"/>
          <w:sz w:val="32"/>
          <w:szCs w:val="36"/>
        </w:rPr>
        <w:t>务服务事项标准化工作流程和办事指南，细化政务服务标准，明确业务办理时限。</w:t>
      </w:r>
    </w:p>
    <w:p>
      <w:pPr>
        <w:autoSpaceDE w:val="0"/>
        <w:autoSpaceDN w:val="0"/>
        <w:adjustRightInd w:val="0"/>
        <w:spacing w:line="580" w:lineRule="exact"/>
        <w:ind w:firstLine="658"/>
        <w:rPr>
          <w:rFonts w:ascii="仿宋_GB2312" w:eastAsia="仿宋_GB2312" w:cs="Times New Roman"/>
          <w:color w:val="000000"/>
          <w:sz w:val="32"/>
          <w:szCs w:val="36"/>
        </w:rPr>
      </w:pPr>
      <w:r>
        <w:rPr>
          <w:rFonts w:hint="eastAsia" w:ascii="仿宋_GB2312" w:eastAsia="仿宋_GB2312" w:cs="Times New Roman"/>
          <w:b/>
          <w:color w:val="000000"/>
          <w:sz w:val="32"/>
          <w:szCs w:val="36"/>
        </w:rPr>
        <w:t>大力发展壮大知识产权服务业。</w:t>
      </w:r>
      <w:r>
        <w:rPr>
          <w:rFonts w:hint="eastAsia" w:ascii="仿宋_GB2312" w:eastAsia="仿宋_GB2312" w:cs="Times New Roman"/>
          <w:color w:val="000000"/>
          <w:sz w:val="32"/>
          <w:szCs w:val="36"/>
        </w:rPr>
        <w:t>制定促进知识产权服务业发展优惠政策，引导和支持知识产权服务机构做大做强，促进服务机构高端化、定制化、专业化。支持知识产权服务机构利用“互联网＋”、大数据、物联网拓展服务空间、创新服务业态。研究知识产权分类服务措施，针对不同企业需求，提供“直通车”服务、“定制式”、“加油”、“托管”等特色服务。健全知识产权服务诚信信息管理、信用评价和失信惩戒等管理制度，及时披露相关执业信息。支持知识产权服务机构开展综合的知识产权运营服务项目，拓宽服务领域，提高服务质量，形成服务特色。</w:t>
      </w:r>
    </w:p>
    <w:tbl>
      <w:tblPr>
        <w:tblStyle w:val="25"/>
        <w:tblpPr w:leftFromText="180" w:rightFromText="180" w:vertAnchor="text" w:tblpXSpec="center" w:tblpY="1"/>
        <w:tblOverlap w:val="never"/>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8520" w:type="dxa"/>
            <w:tcBorders>
              <w:top w:val="single" w:color="auto" w:sz="4" w:space="0"/>
              <w:left w:val="single" w:color="auto" w:sz="4" w:space="0"/>
              <w:bottom w:val="single" w:color="auto" w:sz="4" w:space="0"/>
              <w:right w:val="single" w:color="auto" w:sz="4" w:space="0"/>
            </w:tcBorders>
            <w:shd w:val="clear" w:color="auto" w:fill="33CCCC"/>
            <w:vAlign w:val="center"/>
          </w:tcPr>
          <w:p>
            <w:pPr>
              <w:autoSpaceDN w:val="0"/>
              <w:snapToGrid w:val="0"/>
              <w:jc w:val="center"/>
              <w:rPr>
                <w:rFonts w:eastAsia="黑体" w:cs="Times New Roman"/>
                <w:color w:val="000000"/>
                <w:sz w:val="28"/>
                <w:szCs w:val="28"/>
              </w:rPr>
            </w:pPr>
            <w:r>
              <w:rPr>
                <w:rFonts w:hint="eastAsia" w:ascii="黑体" w:hAnsi="黑体" w:eastAsia="黑体"/>
                <w:bCs/>
                <w:color w:val="000000"/>
                <w:kern w:val="0"/>
                <w:sz w:val="28"/>
                <w:szCs w:val="28"/>
              </w:rPr>
              <w:t>专栏8</w:t>
            </w:r>
            <w:r>
              <w:rPr>
                <w:rFonts w:ascii="黑体" w:hAnsi="黑体" w:eastAsia="黑体"/>
                <w:bCs/>
                <w:color w:val="000000"/>
                <w:kern w:val="0"/>
                <w:sz w:val="28"/>
                <w:szCs w:val="28"/>
              </w:rPr>
              <w:t xml:space="preserve"> </w:t>
            </w:r>
            <w:r>
              <w:rPr>
                <w:rFonts w:hint="eastAsia" w:ascii="黑体" w:hAnsi="黑体" w:eastAsia="黑体"/>
                <w:bCs/>
                <w:color w:val="000000"/>
                <w:kern w:val="0"/>
                <w:sz w:val="28"/>
                <w:szCs w:val="28"/>
              </w:rPr>
              <w:t xml:space="preserve"> 知识产权公共服务能力提升工程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9" w:hRule="atLeast"/>
          <w:jc w:val="center"/>
        </w:trPr>
        <w:tc>
          <w:tcPr>
            <w:tcW w:w="8520" w:type="dxa"/>
            <w:tcBorders>
              <w:top w:val="single" w:color="auto" w:sz="4" w:space="0"/>
              <w:left w:val="single" w:color="auto" w:sz="4" w:space="0"/>
              <w:bottom w:val="single" w:color="auto" w:sz="4" w:space="0"/>
              <w:right w:val="single" w:color="auto" w:sz="4" w:space="0"/>
            </w:tcBorders>
            <w:vAlign w:val="top"/>
          </w:tcPr>
          <w:p>
            <w:pPr>
              <w:adjustRightInd w:val="0"/>
              <w:spacing w:line="288" w:lineRule="auto"/>
              <w:ind w:firstLine="549" w:firstLineChars="196"/>
              <w:rPr>
                <w:rFonts w:ascii="仿宋_GB2312" w:hAnsi="仿宋_GB2312" w:eastAsia="仿宋_GB2312" w:cs="仿宋_GB2312"/>
                <w:bCs/>
                <w:color w:val="000000"/>
                <w:sz w:val="28"/>
                <w:szCs w:val="36"/>
              </w:rPr>
            </w:pPr>
            <w:r>
              <w:rPr>
                <w:rFonts w:hint="eastAsia" w:ascii="仿宋_GB2312" w:hAnsi="仿宋_GB2312" w:eastAsia="仿宋_GB2312" w:cs="仿宋_GB2312"/>
                <w:bCs/>
                <w:color w:val="000000"/>
                <w:sz w:val="28"/>
                <w:szCs w:val="36"/>
              </w:rPr>
              <w:t>打造“一站式”知识产权综合服务平台。低成本或免费提供基础性、前置性的知识产权信息、代理、交易、法律、金融等咨询指导服务，为企业知识产权转化变现提供就地就近渠道。</w:t>
            </w:r>
          </w:p>
          <w:p>
            <w:pPr>
              <w:adjustRightInd w:val="0"/>
              <w:spacing w:line="288" w:lineRule="auto"/>
              <w:ind w:firstLine="549" w:firstLineChars="196"/>
              <w:rPr>
                <w:rFonts w:ascii="仿宋_GB2312" w:hAnsi="仿宋_GB2312" w:eastAsia="仿宋_GB2312" w:cs="仿宋_GB2312"/>
                <w:bCs/>
                <w:color w:val="000000"/>
                <w:sz w:val="28"/>
                <w:szCs w:val="36"/>
              </w:rPr>
            </w:pPr>
            <w:r>
              <w:rPr>
                <w:rFonts w:hint="eastAsia" w:ascii="仿宋_GB2312" w:hAnsi="仿宋_GB2312" w:eastAsia="仿宋_GB2312" w:cs="仿宋_GB2312"/>
                <w:bCs/>
                <w:color w:val="000000"/>
                <w:sz w:val="28"/>
                <w:szCs w:val="36"/>
              </w:rPr>
              <w:t>推动实现维权援助服务全市“一张网”。利用现有知识产权公益性服务机构开展知识产权维权援助。指导规范维权援助工作流程，重点加强民营企业、中小微企业、个体工商户等知识产权维权援助。强化维权援助统筹协调、部门协同和区域协作。支持和鼓励大中型企业、高校、创业园区等设立维权援助分中心（工作站）。</w:t>
            </w:r>
          </w:p>
          <w:p>
            <w:pPr>
              <w:adjustRightInd w:val="0"/>
              <w:spacing w:line="288" w:lineRule="auto"/>
              <w:ind w:firstLine="549" w:firstLineChars="196"/>
              <w:rPr>
                <w:color w:val="000000"/>
              </w:rPr>
            </w:pPr>
            <w:r>
              <w:rPr>
                <w:rFonts w:hint="eastAsia" w:ascii="仿宋_GB2312" w:hAnsi="仿宋_GB2312" w:eastAsia="仿宋_GB2312" w:cs="仿宋_GB2312"/>
                <w:bCs/>
                <w:color w:val="000000"/>
                <w:sz w:val="28"/>
                <w:szCs w:val="36"/>
              </w:rPr>
              <w:t>争取设立商标受理窗口。争取国家知识产权局商标局设立清远市商标业务受理窗口，委托开展受理商标注册申请、马德里商标国际注册申请、商标转让申请、商标权质押登记申请等业务，减少企业办事流程和各项成本，方便全市各类市场主体申请注册商标。</w:t>
            </w:r>
          </w:p>
        </w:tc>
      </w:tr>
    </w:tbl>
    <w:p>
      <w:pPr>
        <w:autoSpaceDE w:val="0"/>
        <w:autoSpaceDN w:val="0"/>
        <w:adjustRightInd w:val="0"/>
        <w:spacing w:line="580" w:lineRule="exact"/>
        <w:ind w:firstLine="658"/>
        <w:outlineLvl w:val="1"/>
        <w:rPr>
          <w:rFonts w:ascii="楷体_GB2312" w:eastAsia="楷体_GB2312"/>
          <w:bCs/>
          <w:color w:val="000000"/>
          <w:sz w:val="32"/>
          <w:szCs w:val="20"/>
        </w:rPr>
      </w:pPr>
      <w:bookmarkStart w:id="24" w:name="_Toc76458241"/>
      <w:r>
        <w:rPr>
          <w:rFonts w:hint="eastAsia" w:ascii="楷体_GB2312" w:eastAsia="楷体_GB2312"/>
          <w:bCs/>
          <w:color w:val="000000"/>
          <w:sz w:val="32"/>
          <w:szCs w:val="20"/>
        </w:rPr>
        <w:t>（七）统筹区域知识产权发展</w:t>
      </w:r>
      <w:bookmarkEnd w:id="24"/>
    </w:p>
    <w:p>
      <w:pPr>
        <w:autoSpaceDE w:val="0"/>
        <w:autoSpaceDN w:val="0"/>
        <w:adjustRightInd w:val="0"/>
        <w:spacing w:line="580" w:lineRule="exact"/>
        <w:ind w:firstLine="658"/>
        <w:rPr>
          <w:rFonts w:ascii="仿宋_GB2312" w:eastAsia="仿宋_GB2312" w:cs="Times New Roman"/>
          <w:color w:val="000000"/>
          <w:sz w:val="32"/>
          <w:szCs w:val="36"/>
        </w:rPr>
      </w:pPr>
      <w:r>
        <w:rPr>
          <w:rFonts w:hint="eastAsia" w:ascii="仿宋_GB2312" w:eastAsia="仿宋_GB2312" w:cs="Times New Roman"/>
          <w:b/>
          <w:color w:val="000000"/>
          <w:sz w:val="32"/>
          <w:szCs w:val="36"/>
        </w:rPr>
        <w:t>争创国家知识产权试点示范园区。</w:t>
      </w:r>
      <w:r>
        <w:rPr>
          <w:rFonts w:hint="eastAsia" w:ascii="仿宋_GB2312" w:eastAsia="仿宋_GB2312" w:cs="Times New Roman"/>
          <w:color w:val="000000"/>
          <w:sz w:val="32"/>
          <w:szCs w:val="36"/>
        </w:rPr>
        <w:t>按照功能区域发展定位，推动全市各园区大力实施知识产权战略，建立健全知识产权工作体系、政策体系、保护体系、服务体系，促进知识产权特色发展，推动清远高新区争创国家知识产权示范园区，推动英德高新技术产业开发区争创国家知识产权试点园区。完善园区知识产权管理工作体系建设，以重点区域、重点行业和重点企业为主要服务对象，培养综合素质较高的知识产权人才队伍，增加知识产权专职人员配备，提高园区知识产权综合管理统筹协调能力。</w:t>
      </w:r>
    </w:p>
    <w:p>
      <w:pPr>
        <w:autoSpaceDE w:val="0"/>
        <w:autoSpaceDN w:val="0"/>
        <w:adjustRightInd w:val="0"/>
        <w:spacing w:line="580" w:lineRule="exact"/>
        <w:ind w:firstLine="658"/>
      </w:pPr>
      <w:r>
        <w:rPr>
          <w:rFonts w:hint="eastAsia" w:ascii="仿宋_GB2312" w:eastAsia="仿宋_GB2312" w:cs="Times New Roman"/>
          <w:b/>
          <w:color w:val="000000"/>
          <w:sz w:val="32"/>
          <w:szCs w:val="36"/>
        </w:rPr>
        <w:t>培育国家知识产权试点县（市、区）。</w:t>
      </w:r>
      <w:r>
        <w:rPr>
          <w:rFonts w:hint="eastAsia" w:ascii="仿宋_GB2312" w:eastAsia="仿宋_GB2312" w:cs="Times New Roman"/>
          <w:color w:val="000000"/>
          <w:sz w:val="32"/>
          <w:szCs w:val="36"/>
        </w:rPr>
        <w:t>推进县域知识产权工作，建设一批知识产权管理体系健全、运用和保护水平较高、产业竞争优势明显的知识产权强县（市、区），</w:t>
      </w:r>
      <w:r>
        <w:rPr>
          <w:rFonts w:hint="eastAsia" w:ascii="仿宋_GB2312" w:hAnsi="仿宋_GB2312" w:eastAsia="仿宋_GB2312" w:cs="仿宋_GB2312"/>
          <w:color w:val="000000"/>
          <w:sz w:val="32"/>
          <w:szCs w:val="32"/>
        </w:rPr>
        <w:t>推动清城区、英德市、连州市培育争创国家知识产权试点县（市、区）。</w:t>
      </w:r>
      <w:r>
        <w:rPr>
          <w:rFonts w:hint="eastAsia" w:ascii="仿宋_GB2312" w:eastAsia="仿宋_GB2312" w:cs="Times New Roman"/>
          <w:color w:val="000000"/>
          <w:sz w:val="32"/>
          <w:szCs w:val="36"/>
        </w:rPr>
        <w:t>支持知识产权优势县（市、区）加大政策实施力度，提升知识产权创造水平、运用效益、保护效果、服务能力，围绕主导产业、瞄准产业关键环节实施技术改造和名牌建设，培育一批拥有自主知识产权、市场空间大、成长性好的产品和企业，使知识产权成为支撑县域经济发展的重要力量。</w:t>
      </w:r>
    </w:p>
    <w:tbl>
      <w:tblPr>
        <w:tblStyle w:val="25"/>
        <w:tblW w:w="8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8828" w:type="dxa"/>
            <w:tcBorders>
              <w:top w:val="single" w:color="auto" w:sz="4" w:space="0"/>
              <w:left w:val="single" w:color="auto" w:sz="4" w:space="0"/>
              <w:bottom w:val="single" w:color="auto" w:sz="4" w:space="0"/>
              <w:right w:val="single" w:color="auto" w:sz="4" w:space="0"/>
            </w:tcBorders>
            <w:shd w:val="clear" w:color="auto" w:fill="33CCCC"/>
            <w:vAlign w:val="center"/>
          </w:tcPr>
          <w:p>
            <w:pPr>
              <w:autoSpaceDN w:val="0"/>
              <w:snapToGrid w:val="0"/>
              <w:jc w:val="center"/>
              <w:rPr>
                <w:rFonts w:eastAsia="黑体" w:cs="Times New Roman"/>
                <w:color w:val="000000"/>
                <w:sz w:val="28"/>
                <w:szCs w:val="28"/>
              </w:rPr>
            </w:pPr>
            <w:r>
              <w:rPr>
                <w:rFonts w:hint="eastAsia" w:ascii="黑体" w:hAnsi="黑体" w:eastAsia="黑体"/>
                <w:bCs/>
                <w:color w:val="000000"/>
                <w:kern w:val="0"/>
                <w:sz w:val="28"/>
                <w:szCs w:val="28"/>
              </w:rPr>
              <w:t>专栏9</w:t>
            </w:r>
            <w:r>
              <w:rPr>
                <w:rFonts w:ascii="黑体" w:hAnsi="黑体" w:eastAsia="黑体"/>
                <w:bCs/>
                <w:color w:val="000000"/>
                <w:kern w:val="0"/>
                <w:sz w:val="28"/>
                <w:szCs w:val="28"/>
              </w:rPr>
              <w:t xml:space="preserve"> </w:t>
            </w:r>
            <w:r>
              <w:rPr>
                <w:rFonts w:hint="eastAsia" w:ascii="黑体" w:hAnsi="黑体" w:eastAsia="黑体"/>
                <w:bCs/>
                <w:color w:val="000000"/>
                <w:kern w:val="0"/>
                <w:sz w:val="28"/>
                <w:szCs w:val="28"/>
              </w:rPr>
              <w:t xml:space="preserve"> 知识产权区域协调发展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0" w:hRule="atLeast"/>
          <w:jc w:val="center"/>
        </w:trPr>
        <w:tc>
          <w:tcPr>
            <w:tcW w:w="8828" w:type="dxa"/>
            <w:tcBorders>
              <w:top w:val="single" w:color="auto" w:sz="4" w:space="0"/>
              <w:left w:val="single" w:color="auto" w:sz="4" w:space="0"/>
              <w:bottom w:val="single" w:color="auto" w:sz="4" w:space="0"/>
              <w:right w:val="single" w:color="auto" w:sz="4" w:space="0"/>
            </w:tcBorders>
            <w:vAlign w:val="top"/>
          </w:tcPr>
          <w:p>
            <w:pPr>
              <w:adjustRightInd w:val="0"/>
              <w:spacing w:beforeLines="0" w:afterLines="0" w:line="240" w:lineRule="auto"/>
              <w:ind w:firstLine="548" w:firstLineChars="196"/>
              <w:rPr>
                <w:color w:val="000000"/>
              </w:rPr>
            </w:pPr>
            <w:r>
              <w:rPr>
                <w:rFonts w:hint="eastAsia" w:ascii="仿宋_GB2312" w:hAnsi="仿宋_GB2312" w:eastAsia="仿宋_GB2312" w:cs="仿宋_GB2312"/>
                <w:bCs/>
                <w:color w:val="000000"/>
                <w:sz w:val="28"/>
                <w:szCs w:val="36"/>
              </w:rPr>
              <w:t>发挥清远市知识产权区域工作优势，以“战略引领、强化能力、完善政策、全面深化、促进运用、加强保护”为工作重点，围绕提升全市知识产权宏观管理水平、完善知识产权政策措施、全面增强我市知识产权综合实力，支撑全市经济转型发展。支持有条件县（市、区）、园区申报创建国家知识产权试点县（市、区）、示范园区，提升县域知识产权工作能力。建立健全重点产业园区知识产权工作体系。推动高新技术园区、产业转移园区、经济开发区等重点产业园区建立健全知识产权工作机制，完善知识产权创造、运用、保护、管理和服务体系建设</w:t>
            </w:r>
            <w:r>
              <w:rPr>
                <w:rFonts w:hint="eastAsia" w:ascii="楷体_GB2312" w:eastAsia="楷体_GB2312"/>
                <w:color w:val="000000"/>
                <w:sz w:val="28"/>
                <w:szCs w:val="36"/>
              </w:rPr>
              <w:t>。</w:t>
            </w:r>
          </w:p>
        </w:tc>
      </w:tr>
    </w:tbl>
    <w:p>
      <w:pPr>
        <w:autoSpaceDE w:val="0"/>
        <w:autoSpaceDN w:val="0"/>
        <w:adjustRightInd w:val="0"/>
        <w:spacing w:line="580" w:lineRule="exact"/>
        <w:ind w:firstLine="658"/>
        <w:outlineLvl w:val="1"/>
        <w:rPr>
          <w:rFonts w:ascii="楷体_GB2312" w:eastAsia="楷体_GB2312"/>
          <w:bCs/>
          <w:color w:val="000000"/>
          <w:sz w:val="32"/>
          <w:szCs w:val="20"/>
        </w:rPr>
      </w:pPr>
      <w:bookmarkStart w:id="25" w:name="_Toc76458242"/>
      <w:r>
        <w:rPr>
          <w:rFonts w:hint="eastAsia" w:ascii="楷体_GB2312" w:eastAsia="楷体_GB2312"/>
          <w:bCs/>
          <w:color w:val="000000"/>
          <w:sz w:val="32"/>
          <w:szCs w:val="20"/>
        </w:rPr>
        <w:t>（八）加强知识产权人才培育</w:t>
      </w:r>
      <w:bookmarkEnd w:id="25"/>
    </w:p>
    <w:p>
      <w:pPr>
        <w:autoSpaceDE w:val="0"/>
        <w:autoSpaceDN w:val="0"/>
        <w:adjustRightInd w:val="0"/>
        <w:spacing w:line="580" w:lineRule="exact"/>
        <w:ind w:firstLine="658"/>
        <w:rPr>
          <w:color w:val="000000"/>
        </w:rPr>
      </w:pPr>
      <w:r>
        <w:rPr>
          <w:rFonts w:hint="eastAsia" w:ascii="楷体_GB2312" w:eastAsia="楷体_GB2312"/>
          <w:b/>
          <w:color w:val="000000"/>
          <w:sz w:val="32"/>
          <w:szCs w:val="20"/>
        </w:rPr>
        <w:t>统筹推进各类知识产权人才队伍建设。</w:t>
      </w:r>
      <w:r>
        <w:rPr>
          <w:rFonts w:hint="eastAsia" w:ascii="仿宋_GB2312" w:eastAsia="仿宋_GB2312" w:cs="Times New Roman"/>
          <w:color w:val="000000"/>
          <w:sz w:val="32"/>
          <w:szCs w:val="36"/>
        </w:rPr>
        <w:t>建立知识产权领军人才培养机制，选拔一批发展潜力大、业务水平高、工作业绩强、在知识产权相关领域取得优秀成绩的人员，作为我市知识产权领军人才，列入清远市高精尖人才引进培育对象，提升高端知识产权人才数量。加大重点领域知识产权急需紧缺人才培养引进力度，实现企业知识产权高管、知识产权运营、专利信息分析等人才的快速增长。打造全市知识产权智库，发挥清远市知识产权专家在知识产权侵权判定、维权咨询、法律援助、项目评审以及政策制定等领域的智囊作用。</w:t>
      </w:r>
    </w:p>
    <w:p>
      <w:pPr>
        <w:autoSpaceDE w:val="0"/>
        <w:autoSpaceDN w:val="0"/>
        <w:adjustRightInd w:val="0"/>
        <w:spacing w:line="580" w:lineRule="exact"/>
        <w:ind w:firstLine="658"/>
        <w:rPr>
          <w:rFonts w:ascii="仿宋_GB2312" w:eastAsia="仿宋_GB2312" w:cs="Times New Roman"/>
          <w:color w:val="000000"/>
          <w:sz w:val="32"/>
          <w:szCs w:val="36"/>
        </w:rPr>
      </w:pPr>
      <w:r>
        <w:rPr>
          <w:rFonts w:hint="eastAsia" w:ascii="仿宋_GB2312" w:eastAsia="仿宋_GB2312" w:cs="Times New Roman"/>
          <w:b/>
          <w:color w:val="000000"/>
          <w:sz w:val="32"/>
          <w:szCs w:val="36"/>
        </w:rPr>
        <w:t>多渠道开展知识产权培训与宣传。</w:t>
      </w:r>
      <w:r>
        <w:rPr>
          <w:rFonts w:hint="eastAsia" w:ascii="仿宋_GB2312" w:eastAsia="仿宋_GB2312" w:cs="Times New Roman"/>
          <w:color w:val="000000"/>
          <w:sz w:val="32"/>
          <w:szCs w:val="36"/>
        </w:rPr>
        <w:t>加强专业技术人员队伍的知识产权继续教育和领导干部队伍的知识产权培训。推动中小学校将知识产权纳入学生素质教育内容，积极开展中小学知识产权教育试点示范，支持中小学开展技术创新与实践活动，提升学生基本的知识产权素质。利用传统媒体、新媒体平台，加强知识产权工作宣传，鼓励企事业单位开展以知识产权为核心的创新、创业大赛等活动，营造良好的知识产权氛围。</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8522" w:type="dxa"/>
            <w:tcBorders>
              <w:top w:val="single" w:color="auto" w:sz="4" w:space="0"/>
              <w:left w:val="single" w:color="auto" w:sz="4" w:space="0"/>
              <w:bottom w:val="single" w:color="auto" w:sz="4" w:space="0"/>
              <w:right w:val="single" w:color="auto" w:sz="4" w:space="0"/>
            </w:tcBorders>
            <w:shd w:val="clear" w:color="auto" w:fill="33CCCC"/>
            <w:vAlign w:val="center"/>
          </w:tcPr>
          <w:p>
            <w:pPr>
              <w:autoSpaceDN w:val="0"/>
              <w:snapToGrid w:val="0"/>
              <w:jc w:val="center"/>
              <w:rPr>
                <w:rFonts w:eastAsia="黑体" w:cs="Times New Roman"/>
                <w:color w:val="000000"/>
                <w:sz w:val="28"/>
                <w:szCs w:val="28"/>
              </w:rPr>
            </w:pPr>
            <w:bookmarkStart w:id="26" w:name="_Toc76458243"/>
            <w:r>
              <w:rPr>
                <w:rFonts w:hint="eastAsia" w:ascii="黑体" w:hAnsi="黑体" w:eastAsia="黑体"/>
                <w:bCs/>
                <w:color w:val="000000"/>
                <w:kern w:val="0"/>
                <w:sz w:val="28"/>
                <w:szCs w:val="28"/>
              </w:rPr>
              <w:t>专栏10</w:t>
            </w:r>
            <w:r>
              <w:rPr>
                <w:rFonts w:ascii="黑体" w:hAnsi="黑体" w:eastAsia="黑体"/>
                <w:bCs/>
                <w:color w:val="000000"/>
                <w:kern w:val="0"/>
                <w:sz w:val="28"/>
                <w:szCs w:val="28"/>
              </w:rPr>
              <w:t xml:space="preserve">  </w:t>
            </w:r>
            <w:r>
              <w:rPr>
                <w:rFonts w:hint="eastAsia" w:ascii="黑体" w:hAnsi="黑体" w:eastAsia="黑体"/>
                <w:bCs/>
                <w:color w:val="000000"/>
                <w:kern w:val="0"/>
                <w:sz w:val="28"/>
                <w:szCs w:val="28"/>
              </w:rPr>
              <w:t>知识产权人才培育工程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9"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adjustRightInd w:val="0"/>
              <w:spacing w:line="288" w:lineRule="auto"/>
              <w:ind w:firstLine="549" w:firstLineChars="196"/>
              <w:rPr>
                <w:rFonts w:ascii="仿宋_GB2312" w:hAnsi="仿宋_GB2312" w:eastAsia="仿宋_GB2312" w:cs="仿宋_GB2312"/>
                <w:bCs/>
                <w:color w:val="000000"/>
                <w:sz w:val="28"/>
                <w:szCs w:val="28"/>
                <w:highlight w:val="yellow"/>
              </w:rPr>
            </w:pPr>
            <w:r>
              <w:rPr>
                <w:rFonts w:hint="eastAsia" w:ascii="仿宋_GB2312" w:hAnsi="仿宋_GB2312" w:eastAsia="仿宋_GB2312" w:cs="仿宋_GB2312"/>
                <w:bCs/>
                <w:color w:val="000000"/>
                <w:sz w:val="28"/>
                <w:szCs w:val="28"/>
              </w:rPr>
              <w:t>加快高端知识产权人才储备。引进高层次知识产权人才，凡符合清远市高精尖人才认定条件的知识产权人才，经评审认定后可享受我市高精尖人才补助。鼓励本地户籍人员和在我市就业、创业及求学的外地人员参加专利代理资格考试，通过专利代理资格考试的，报名费用全额资助。</w:t>
            </w:r>
          </w:p>
          <w:p>
            <w:pPr>
              <w:adjustRightInd w:val="0"/>
              <w:spacing w:line="288" w:lineRule="auto"/>
              <w:ind w:firstLine="549" w:firstLineChars="196"/>
            </w:pPr>
            <w:r>
              <w:rPr>
                <w:rFonts w:hint="eastAsia" w:ascii="仿宋_GB2312" w:hAnsi="仿宋_GB2312" w:eastAsia="仿宋_GB2312" w:cs="仿宋_GB2312"/>
                <w:bCs/>
                <w:color w:val="000000"/>
                <w:sz w:val="28"/>
                <w:szCs w:val="28"/>
              </w:rPr>
              <w:t>完善知识产权人才培养体系。支持符合条件的高校、社会机构设立知识产权培训基地，增强知识产权师资力量，开设符合我市产业特色的知识产权课程，培育一批知识产权实务人才。对获批建设市级知识产权人才培训基地的，培训期间的场地租赁、教材编印、师资聘请给予财政补助。鼓励中小学校深入开展知识产权教育试点示范工作，培养青少年创新精神和创新能力，对获认定国家级或省级中小学知识产权教育试点、示范学校，给予奖励。</w:t>
            </w:r>
          </w:p>
        </w:tc>
      </w:tr>
    </w:tbl>
    <w:p>
      <w:pPr>
        <w:autoSpaceDE w:val="0"/>
        <w:autoSpaceDN w:val="0"/>
        <w:adjustRightInd w:val="0"/>
        <w:spacing w:line="580" w:lineRule="exact"/>
        <w:ind w:firstLine="658"/>
        <w:outlineLvl w:val="1"/>
        <w:rPr>
          <w:rFonts w:ascii="楷体_GB2312" w:eastAsia="楷体_GB2312"/>
          <w:bCs/>
          <w:color w:val="000000"/>
          <w:sz w:val="32"/>
          <w:szCs w:val="20"/>
        </w:rPr>
      </w:pPr>
      <w:r>
        <w:rPr>
          <w:rFonts w:hint="eastAsia" w:ascii="楷体_GB2312" w:eastAsia="楷体_GB2312"/>
          <w:bCs/>
          <w:color w:val="000000"/>
          <w:sz w:val="32"/>
          <w:szCs w:val="20"/>
        </w:rPr>
        <w:t>（九）推进知识产权领域区域合作</w:t>
      </w:r>
      <w:bookmarkEnd w:id="26"/>
    </w:p>
    <w:p>
      <w:pPr>
        <w:autoSpaceDE w:val="0"/>
        <w:autoSpaceDN w:val="0"/>
        <w:adjustRightInd w:val="0"/>
        <w:spacing w:line="580" w:lineRule="exact"/>
        <w:ind w:firstLine="658"/>
        <w:rPr>
          <w:rFonts w:ascii="仿宋_GB2312" w:eastAsia="仿宋_GB2312" w:cs="Times New Roman"/>
          <w:color w:val="000000"/>
          <w:sz w:val="32"/>
          <w:szCs w:val="36"/>
        </w:rPr>
      </w:pPr>
      <w:r>
        <w:rPr>
          <w:rFonts w:ascii="Times New Roman" w:hAnsi="Times New Roman" w:eastAsia="仿宋_GB2312" w:cs="Times New Roman"/>
          <w:b/>
          <w:bCs/>
          <w:snapToGrid w:val="0"/>
          <w:color w:val="000000"/>
          <w:kern w:val="0"/>
          <w:sz w:val="32"/>
          <w:szCs w:val="32"/>
        </w:rPr>
        <w:t>深化知识产权领域区域合作。</w:t>
      </w:r>
      <w:r>
        <w:rPr>
          <w:rFonts w:hint="eastAsia" w:ascii="仿宋_GB2312" w:eastAsia="仿宋_GB2312" w:cs="Times New Roman"/>
          <w:color w:val="000000"/>
          <w:sz w:val="32"/>
          <w:szCs w:val="36"/>
        </w:rPr>
        <w:t>发挥清远紧邻粤港澳大湾区的区位优势，对接粤港澳大湾区、广清一体化、广深科技创新走廊等重大战略规划，加强与粤港澳知识产权跨区域交流，鼓励支持创新创业人才及创新企业积极参与知识产权大湾区交流与合作，主动融入大湾区竞争和布局，引导创新主体积极参与广交会、粤港澳大湾区知识产权交易博览会、粤港澳大湾区高价值专利培育布局大赛等重大展会赛事。积极承办高端论坛、成果展览、要素交易、创业大赛等活动，推动创新创业要素在清远汇聚、融合及对接，为创业者提供合作、交流并快速成长的平台。</w:t>
      </w:r>
    </w:p>
    <w:p>
      <w:pPr>
        <w:autoSpaceDE w:val="0"/>
        <w:autoSpaceDN w:val="0"/>
        <w:adjustRightInd w:val="0"/>
        <w:spacing w:line="580" w:lineRule="exact"/>
        <w:ind w:firstLine="658"/>
        <w:rPr>
          <w:rFonts w:ascii="黑体" w:hAnsi="黑体" w:eastAsia="黑体" w:cs="宋体"/>
          <w:color w:val="000000"/>
          <w:kern w:val="0"/>
          <w:sz w:val="32"/>
          <w:szCs w:val="32"/>
        </w:rPr>
      </w:pPr>
      <w:r>
        <w:rPr>
          <w:rFonts w:hint="eastAsia" w:ascii="仿宋_GB2312" w:eastAsia="仿宋_GB2312" w:cs="Times New Roman"/>
          <w:b/>
          <w:color w:val="000000"/>
          <w:sz w:val="32"/>
          <w:szCs w:val="36"/>
        </w:rPr>
        <w:t>加强海外知识产权保护。</w:t>
      </w:r>
      <w:r>
        <w:rPr>
          <w:rFonts w:hint="eastAsia" w:ascii="仿宋_GB2312" w:eastAsia="仿宋_GB2312" w:cs="Times New Roman"/>
          <w:color w:val="000000"/>
          <w:sz w:val="32"/>
          <w:szCs w:val="36"/>
        </w:rPr>
        <w:t>支持重点企业加强知识产权海外布局，注册境外知识产权、收储海外专利、参与国际技术标准制定。引导企业在主要贸易目的地和对外投资目的地加强与知名知识产权服务机构的合作，帮助企业融入国际知识产权创造、运用与保护体系。增强企业应对知识产权诉讼、防御知识产权风险、处理涉外知识产权事务等方面能力。完善海外知识产权纠纷预警防范机制，支持行业协会、专业机构跟踪发布战略性产业海外知识产权信息、竞争动态和风险预警报告。</w:t>
      </w:r>
    </w:p>
    <w:p>
      <w:pPr>
        <w:shd w:val="clear" w:color="auto" w:fill="FFFFFF"/>
        <w:autoSpaceDE w:val="0"/>
        <w:autoSpaceDN w:val="0"/>
        <w:adjustRightInd w:val="0"/>
        <w:spacing w:line="580" w:lineRule="exact"/>
        <w:ind w:firstLine="640" w:firstLineChars="200"/>
        <w:outlineLvl w:val="0"/>
        <w:rPr>
          <w:rFonts w:ascii="仿宋_GB2312" w:hAnsi="微软雅黑" w:eastAsia="仿宋_GB2312" w:cs="宋体"/>
          <w:color w:val="000000"/>
          <w:kern w:val="0"/>
          <w:sz w:val="32"/>
          <w:szCs w:val="32"/>
        </w:rPr>
      </w:pPr>
      <w:bookmarkStart w:id="27" w:name="_Toc76458244"/>
      <w:r>
        <w:rPr>
          <w:rFonts w:hint="eastAsia" w:ascii="黑体" w:hAnsi="黑体" w:eastAsia="黑体" w:cs="宋体"/>
          <w:color w:val="000000"/>
          <w:kern w:val="0"/>
          <w:sz w:val="32"/>
          <w:szCs w:val="32"/>
        </w:rPr>
        <w:t>四、保障措施</w:t>
      </w:r>
      <w:bookmarkEnd w:id="27"/>
    </w:p>
    <w:p>
      <w:pPr>
        <w:autoSpaceDE w:val="0"/>
        <w:autoSpaceDN w:val="0"/>
        <w:adjustRightInd w:val="0"/>
        <w:spacing w:line="580" w:lineRule="exact"/>
        <w:ind w:firstLine="658"/>
        <w:outlineLvl w:val="1"/>
        <w:rPr>
          <w:rFonts w:ascii="楷体_GB2312" w:eastAsia="楷体_GB2312"/>
          <w:b/>
          <w:color w:val="000000"/>
          <w:sz w:val="32"/>
          <w:szCs w:val="20"/>
        </w:rPr>
      </w:pPr>
      <w:bookmarkStart w:id="28" w:name="_Toc76118796"/>
      <w:bookmarkStart w:id="29" w:name="_Toc76458245"/>
      <w:r>
        <w:rPr>
          <w:rFonts w:hint="eastAsia" w:ascii="楷体_GB2312" w:eastAsia="楷体_GB2312"/>
          <w:b/>
          <w:color w:val="000000"/>
          <w:sz w:val="32"/>
          <w:szCs w:val="20"/>
        </w:rPr>
        <w:t>（一）加强组织协调</w:t>
      </w:r>
      <w:bookmarkEnd w:id="28"/>
      <w:bookmarkEnd w:id="29"/>
    </w:p>
    <w:p>
      <w:pPr>
        <w:autoSpaceDE w:val="0"/>
        <w:autoSpaceDN w:val="0"/>
        <w:adjustRightInd w:val="0"/>
        <w:spacing w:line="580" w:lineRule="exact"/>
        <w:ind w:firstLine="658"/>
        <w:rPr>
          <w:rFonts w:ascii="仿宋_GB2312" w:hAnsi="微软雅黑" w:eastAsia="仿宋_GB2312" w:cs="宋体"/>
          <w:color w:val="000000"/>
          <w:kern w:val="0"/>
          <w:sz w:val="32"/>
          <w:szCs w:val="32"/>
        </w:rPr>
      </w:pPr>
      <w:r>
        <w:rPr>
          <w:rFonts w:hint="eastAsia" w:ascii="仿宋_GB2312" w:hAnsi="仿宋" w:eastAsia="仿宋_GB2312" w:cs="仿宋"/>
          <w:spacing w:val="-6"/>
          <w:sz w:val="32"/>
          <w:szCs w:val="32"/>
        </w:rPr>
        <w:t>充分发挥市、县（市、区）党委、政府知识产权工作相关协调机制的作用，完善部门沟通协调、工作联动机制，推进规划实施。市市场监督管理局（知识产权局）牵头、各相关部门配合，共同组织推进本规划实施。各县（市、区）要根据规划中的重点工作</w:t>
      </w:r>
      <w:r>
        <w:rPr>
          <w:rFonts w:hint="eastAsia" w:ascii="仿宋_GB2312" w:hAnsi="仿宋" w:eastAsia="仿宋_GB2312" w:cs="仿宋"/>
          <w:sz w:val="32"/>
          <w:szCs w:val="32"/>
        </w:rPr>
        <w:t>内容，建立落实分管领导负责制和工作责任制，及时制定可行的</w:t>
      </w:r>
      <w:r>
        <w:rPr>
          <w:rFonts w:hint="eastAsia" w:ascii="仿宋_GB2312" w:hAnsi="仿宋" w:eastAsia="仿宋_GB2312" w:cs="仿宋"/>
          <w:spacing w:val="-6"/>
          <w:sz w:val="32"/>
          <w:szCs w:val="32"/>
        </w:rPr>
        <w:t>年度推进计划、保障措施和配套政策，推动规划的贯彻落实。</w:t>
      </w:r>
    </w:p>
    <w:p>
      <w:pPr>
        <w:autoSpaceDE w:val="0"/>
        <w:autoSpaceDN w:val="0"/>
        <w:adjustRightInd w:val="0"/>
        <w:spacing w:line="580" w:lineRule="exact"/>
        <w:ind w:firstLine="658"/>
        <w:outlineLvl w:val="1"/>
        <w:rPr>
          <w:rFonts w:ascii="楷体_GB2312" w:eastAsia="楷体_GB2312"/>
          <w:b/>
          <w:color w:val="000000"/>
          <w:sz w:val="32"/>
          <w:szCs w:val="20"/>
        </w:rPr>
      </w:pPr>
      <w:bookmarkStart w:id="30" w:name="_Toc76118797"/>
      <w:bookmarkStart w:id="31" w:name="_Toc76458246"/>
      <w:r>
        <w:rPr>
          <w:rFonts w:hint="eastAsia" w:ascii="楷体_GB2312" w:eastAsia="楷体_GB2312"/>
          <w:b/>
          <w:color w:val="000000"/>
          <w:sz w:val="32"/>
          <w:szCs w:val="20"/>
        </w:rPr>
        <w:t>（二）优化资金投入</w:t>
      </w:r>
      <w:bookmarkEnd w:id="30"/>
      <w:bookmarkEnd w:id="31"/>
    </w:p>
    <w:p>
      <w:pPr>
        <w:autoSpaceDE w:val="0"/>
        <w:autoSpaceDN w:val="0"/>
        <w:adjustRightInd w:val="0"/>
        <w:spacing w:line="580" w:lineRule="exact"/>
        <w:ind w:firstLine="658"/>
        <w:rPr>
          <w:rFonts w:ascii="仿宋_GB2312" w:hAnsi="微软雅黑" w:eastAsia="仿宋_GB2312" w:cs="宋体"/>
          <w:color w:val="000000"/>
          <w:kern w:val="0"/>
          <w:sz w:val="32"/>
          <w:szCs w:val="32"/>
        </w:rPr>
      </w:pPr>
      <w:r>
        <w:rPr>
          <w:rFonts w:hint="eastAsia" w:ascii="仿宋_GB2312" w:hAnsi="仿宋" w:eastAsia="仿宋_GB2312" w:cs="仿宋"/>
          <w:spacing w:val="-6"/>
          <w:sz w:val="32"/>
          <w:szCs w:val="32"/>
        </w:rPr>
        <w:t>根据本规划主要任务推进实施的需要，结合地方财政财力情况对政府知识产权工作的资金投入予以统筹保障，</w:t>
      </w:r>
      <w:r>
        <w:rPr>
          <w:rFonts w:hint="eastAsia" w:ascii="仿宋_GB2312" w:hAnsi="仿宋" w:eastAsia="仿宋_GB2312" w:cs="仿宋"/>
          <w:spacing w:val="4"/>
          <w:sz w:val="32"/>
          <w:szCs w:val="32"/>
        </w:rPr>
        <w:t>不断</w:t>
      </w:r>
      <w:r>
        <w:rPr>
          <w:rFonts w:hint="eastAsia" w:ascii="仿宋_GB2312" w:hAnsi="仿宋" w:eastAsia="仿宋_GB2312" w:cs="仿宋"/>
          <w:sz w:val="32"/>
          <w:szCs w:val="32"/>
        </w:rPr>
        <w:t>优化财政资金使用机制以保障知识产权创造、运用、服务及发展知识产权密集型产业、优化保护环境、人才培育等重点工作。各企事业单位要增加知识产权战略实施，信息运用，权利获取、维持、保护，人才培养等知识产权投入，形成政府引领、各方积极参与的多渠道投入体系。</w:t>
      </w:r>
    </w:p>
    <w:p>
      <w:pPr>
        <w:autoSpaceDE w:val="0"/>
        <w:autoSpaceDN w:val="0"/>
        <w:adjustRightInd w:val="0"/>
        <w:spacing w:line="580" w:lineRule="exact"/>
        <w:ind w:firstLine="658"/>
        <w:outlineLvl w:val="1"/>
        <w:rPr>
          <w:rFonts w:ascii="仿宋_GB2312" w:hAnsi="微软雅黑" w:eastAsia="仿宋_GB2312" w:cs="宋体"/>
          <w:color w:val="000000"/>
          <w:kern w:val="0"/>
          <w:sz w:val="32"/>
          <w:szCs w:val="32"/>
        </w:rPr>
      </w:pPr>
      <w:bookmarkStart w:id="32" w:name="_Toc20180"/>
      <w:bookmarkStart w:id="33" w:name="_Toc76118798"/>
      <w:bookmarkStart w:id="34" w:name="_Toc76458247"/>
      <w:r>
        <w:rPr>
          <w:rFonts w:hint="eastAsia" w:ascii="楷体_GB2312" w:hAnsi="楷体" w:eastAsia="楷体_GB2312" w:cs="楷体"/>
          <w:b/>
          <w:bCs/>
          <w:sz w:val="32"/>
          <w:szCs w:val="32"/>
        </w:rPr>
        <w:t>（三）落实统计考核</w:t>
      </w:r>
      <w:bookmarkEnd w:id="32"/>
      <w:bookmarkEnd w:id="33"/>
      <w:bookmarkEnd w:id="34"/>
    </w:p>
    <w:p>
      <w:pPr>
        <w:widowControl/>
        <w:shd w:val="clear" w:color="auto" w:fill="FFFFFF"/>
        <w:spacing w:line="580" w:lineRule="exact"/>
        <w:ind w:firstLine="645"/>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各</w:t>
      </w:r>
      <w:r>
        <w:rPr>
          <w:rFonts w:hint="eastAsia" w:ascii="仿宋_GB2312" w:hAnsi="仿宋" w:eastAsia="仿宋_GB2312" w:cs="仿宋"/>
          <w:spacing w:val="-6"/>
          <w:sz w:val="32"/>
          <w:szCs w:val="32"/>
        </w:rPr>
        <w:t>县（市、区）</w:t>
      </w:r>
      <w:r>
        <w:rPr>
          <w:rFonts w:hint="eastAsia" w:ascii="仿宋_GB2312" w:hAnsi="微软雅黑" w:eastAsia="仿宋_GB2312" w:cs="宋体"/>
          <w:color w:val="000000"/>
          <w:kern w:val="0"/>
          <w:sz w:val="32"/>
          <w:szCs w:val="32"/>
        </w:rPr>
        <w:t>党委、政府要把知识产权工作摆在突出位置，将知识产权工作纳入市、</w:t>
      </w:r>
      <w:r>
        <w:rPr>
          <w:rFonts w:hint="eastAsia" w:ascii="仿宋_GB2312" w:hAnsi="仿宋" w:eastAsia="仿宋_GB2312" w:cs="仿宋"/>
          <w:spacing w:val="-6"/>
          <w:sz w:val="32"/>
          <w:szCs w:val="32"/>
        </w:rPr>
        <w:t>县（市、区）</w:t>
      </w:r>
      <w:r>
        <w:rPr>
          <w:rFonts w:hint="eastAsia" w:ascii="仿宋_GB2312" w:hAnsi="微软雅黑" w:eastAsia="仿宋_GB2312" w:cs="宋体"/>
          <w:color w:val="000000"/>
          <w:kern w:val="0"/>
          <w:sz w:val="32"/>
          <w:szCs w:val="32"/>
        </w:rPr>
        <w:t>经济发展的考核指标体系，对党政领导班子和领导干部进行综合考核评价时，注重增加鼓励发明创造、保护知识产权、推进成果转化运用、营造良好环境等方面的绩效统计权重。</w:t>
      </w:r>
      <w:r>
        <w:rPr>
          <w:rFonts w:hint="eastAsia" w:ascii="仿宋_GB2312" w:hAnsi="仿宋" w:eastAsia="仿宋_GB2312" w:cs="仿宋"/>
          <w:spacing w:val="-6"/>
          <w:sz w:val="32"/>
          <w:szCs w:val="32"/>
        </w:rPr>
        <w:t>市市场监督管理局（知识产权局）</w:t>
      </w:r>
      <w:r>
        <w:rPr>
          <w:rFonts w:hint="eastAsia" w:ascii="仿宋_GB2312" w:hAnsi="微软雅黑" w:eastAsia="仿宋_GB2312" w:cs="宋体"/>
          <w:color w:val="000000"/>
          <w:kern w:val="0"/>
          <w:sz w:val="32"/>
          <w:szCs w:val="32"/>
        </w:rPr>
        <w:t>会同相关部门将定期对本规划各项目标任务落实情况进行监督检查，适时引入第三方机构开展绩效评估。</w:t>
      </w:r>
    </w:p>
    <w:p>
      <w:pPr>
        <w:widowControl/>
        <w:shd w:val="clear" w:color="auto" w:fill="FFFFFF"/>
        <w:spacing w:line="580" w:lineRule="exact"/>
        <w:ind w:firstLine="645"/>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本规划可根据国家、省知识产权工作最新部署及清远市经济社会发展的实际情况，对有关目标和内容做出合理的调整。</w:t>
      </w: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jc w:val="center"/>
    </w:pPr>
    <w:r>
      <w:fldChar w:fldCharType="begin"/>
    </w:r>
    <w:r>
      <w:instrText xml:space="preserve">PAGE   \* MERGEFORMAT</w:instrText>
    </w:r>
    <w:r>
      <w:fldChar w:fldCharType="separate"/>
    </w:r>
    <w:r>
      <w:rPr>
        <w:lang w:val="zh-CN"/>
      </w:rPr>
      <w:t>28</w:t>
    </w:r>
    <w:r>
      <w:fldChar w:fldCharType="end"/>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F2CE5"/>
    <w:rsid w:val="00002EA0"/>
    <w:rsid w:val="0000661D"/>
    <w:rsid w:val="00025E3E"/>
    <w:rsid w:val="00026543"/>
    <w:rsid w:val="000351AE"/>
    <w:rsid w:val="00042D4F"/>
    <w:rsid w:val="00064426"/>
    <w:rsid w:val="00073F30"/>
    <w:rsid w:val="00081431"/>
    <w:rsid w:val="0009200A"/>
    <w:rsid w:val="000A1AB7"/>
    <w:rsid w:val="000A26D3"/>
    <w:rsid w:val="000A34FE"/>
    <w:rsid w:val="000B4B0D"/>
    <w:rsid w:val="000B5A35"/>
    <w:rsid w:val="000B6700"/>
    <w:rsid w:val="000C0278"/>
    <w:rsid w:val="000C0695"/>
    <w:rsid w:val="000C0D16"/>
    <w:rsid w:val="000D54DA"/>
    <w:rsid w:val="000D781B"/>
    <w:rsid w:val="000E5DDA"/>
    <w:rsid w:val="000E66A3"/>
    <w:rsid w:val="0011069A"/>
    <w:rsid w:val="00114E2A"/>
    <w:rsid w:val="00123F45"/>
    <w:rsid w:val="00130281"/>
    <w:rsid w:val="00132BC4"/>
    <w:rsid w:val="00142541"/>
    <w:rsid w:val="00151CC5"/>
    <w:rsid w:val="00151F55"/>
    <w:rsid w:val="001553F5"/>
    <w:rsid w:val="001611E3"/>
    <w:rsid w:val="001664CE"/>
    <w:rsid w:val="00167863"/>
    <w:rsid w:val="00172E14"/>
    <w:rsid w:val="00177067"/>
    <w:rsid w:val="001817DD"/>
    <w:rsid w:val="00183547"/>
    <w:rsid w:val="001A1F9E"/>
    <w:rsid w:val="001A503A"/>
    <w:rsid w:val="001A6A2B"/>
    <w:rsid w:val="001B0F9F"/>
    <w:rsid w:val="001B2C10"/>
    <w:rsid w:val="001B39CB"/>
    <w:rsid w:val="001B462D"/>
    <w:rsid w:val="001B5FC7"/>
    <w:rsid w:val="001D0B25"/>
    <w:rsid w:val="001E0959"/>
    <w:rsid w:val="001E1824"/>
    <w:rsid w:val="001E1B1A"/>
    <w:rsid w:val="001E2660"/>
    <w:rsid w:val="001F0884"/>
    <w:rsid w:val="001F666B"/>
    <w:rsid w:val="001F7E78"/>
    <w:rsid w:val="00200356"/>
    <w:rsid w:val="002065CF"/>
    <w:rsid w:val="00206E26"/>
    <w:rsid w:val="002121C8"/>
    <w:rsid w:val="00215F6B"/>
    <w:rsid w:val="0021633B"/>
    <w:rsid w:val="00216A2B"/>
    <w:rsid w:val="00217163"/>
    <w:rsid w:val="002178A8"/>
    <w:rsid w:val="00226FDA"/>
    <w:rsid w:val="002453E8"/>
    <w:rsid w:val="00247D3E"/>
    <w:rsid w:val="00253EC8"/>
    <w:rsid w:val="002636C0"/>
    <w:rsid w:val="00264EDD"/>
    <w:rsid w:val="00267086"/>
    <w:rsid w:val="00267AB9"/>
    <w:rsid w:val="00295B38"/>
    <w:rsid w:val="00295FAF"/>
    <w:rsid w:val="002C1031"/>
    <w:rsid w:val="002C567E"/>
    <w:rsid w:val="002E7F99"/>
    <w:rsid w:val="002F15B0"/>
    <w:rsid w:val="002F23FC"/>
    <w:rsid w:val="002F2CE5"/>
    <w:rsid w:val="00310715"/>
    <w:rsid w:val="0031135A"/>
    <w:rsid w:val="0031154C"/>
    <w:rsid w:val="00311D4F"/>
    <w:rsid w:val="003170AD"/>
    <w:rsid w:val="00320EB0"/>
    <w:rsid w:val="0032473F"/>
    <w:rsid w:val="003264EA"/>
    <w:rsid w:val="00331CB0"/>
    <w:rsid w:val="00341E64"/>
    <w:rsid w:val="0034291A"/>
    <w:rsid w:val="00344C12"/>
    <w:rsid w:val="00351A70"/>
    <w:rsid w:val="0036309A"/>
    <w:rsid w:val="00365AED"/>
    <w:rsid w:val="003757A3"/>
    <w:rsid w:val="003860F0"/>
    <w:rsid w:val="0039359B"/>
    <w:rsid w:val="0039467A"/>
    <w:rsid w:val="00395DFC"/>
    <w:rsid w:val="0039683F"/>
    <w:rsid w:val="003A01EC"/>
    <w:rsid w:val="003B4942"/>
    <w:rsid w:val="003B5C6E"/>
    <w:rsid w:val="003D3FF7"/>
    <w:rsid w:val="003D4411"/>
    <w:rsid w:val="003D58F9"/>
    <w:rsid w:val="003D6AB3"/>
    <w:rsid w:val="003E17EB"/>
    <w:rsid w:val="003E7A4F"/>
    <w:rsid w:val="003F5B79"/>
    <w:rsid w:val="00405BDE"/>
    <w:rsid w:val="00414D5A"/>
    <w:rsid w:val="004178CC"/>
    <w:rsid w:val="004234DE"/>
    <w:rsid w:val="00425BCA"/>
    <w:rsid w:val="00427035"/>
    <w:rsid w:val="0042777B"/>
    <w:rsid w:val="00433688"/>
    <w:rsid w:val="00441417"/>
    <w:rsid w:val="00445FDD"/>
    <w:rsid w:val="00446516"/>
    <w:rsid w:val="004471CF"/>
    <w:rsid w:val="004541C8"/>
    <w:rsid w:val="004609FD"/>
    <w:rsid w:val="00465524"/>
    <w:rsid w:val="00470519"/>
    <w:rsid w:val="00473B64"/>
    <w:rsid w:val="00475939"/>
    <w:rsid w:val="00476000"/>
    <w:rsid w:val="0047647E"/>
    <w:rsid w:val="00493202"/>
    <w:rsid w:val="004A1C1C"/>
    <w:rsid w:val="004B260F"/>
    <w:rsid w:val="004C0795"/>
    <w:rsid w:val="004C58CB"/>
    <w:rsid w:val="004E1DB0"/>
    <w:rsid w:val="004E6CF9"/>
    <w:rsid w:val="00503411"/>
    <w:rsid w:val="0051117F"/>
    <w:rsid w:val="00512A8A"/>
    <w:rsid w:val="00531126"/>
    <w:rsid w:val="00537581"/>
    <w:rsid w:val="0054142E"/>
    <w:rsid w:val="00556F33"/>
    <w:rsid w:val="005731F6"/>
    <w:rsid w:val="00573607"/>
    <w:rsid w:val="00573A95"/>
    <w:rsid w:val="005859F6"/>
    <w:rsid w:val="005879F7"/>
    <w:rsid w:val="00590056"/>
    <w:rsid w:val="00593829"/>
    <w:rsid w:val="005939DF"/>
    <w:rsid w:val="00593E27"/>
    <w:rsid w:val="005A27B0"/>
    <w:rsid w:val="005B0014"/>
    <w:rsid w:val="005B5BB0"/>
    <w:rsid w:val="005C72F6"/>
    <w:rsid w:val="005C7CC7"/>
    <w:rsid w:val="005D73CB"/>
    <w:rsid w:val="005E0643"/>
    <w:rsid w:val="005E761A"/>
    <w:rsid w:val="005F4AFD"/>
    <w:rsid w:val="006002DB"/>
    <w:rsid w:val="006111B0"/>
    <w:rsid w:val="00614410"/>
    <w:rsid w:val="0062278C"/>
    <w:rsid w:val="00627B6C"/>
    <w:rsid w:val="00632C08"/>
    <w:rsid w:val="00633CB3"/>
    <w:rsid w:val="00642390"/>
    <w:rsid w:val="00644675"/>
    <w:rsid w:val="00645B01"/>
    <w:rsid w:val="00663318"/>
    <w:rsid w:val="006647DB"/>
    <w:rsid w:val="006774DF"/>
    <w:rsid w:val="006807FA"/>
    <w:rsid w:val="00684348"/>
    <w:rsid w:val="00693561"/>
    <w:rsid w:val="00696786"/>
    <w:rsid w:val="006A3F8A"/>
    <w:rsid w:val="006B17A4"/>
    <w:rsid w:val="006B3805"/>
    <w:rsid w:val="006B52FA"/>
    <w:rsid w:val="006C04FE"/>
    <w:rsid w:val="006C5E36"/>
    <w:rsid w:val="00711767"/>
    <w:rsid w:val="007220F3"/>
    <w:rsid w:val="00722BBB"/>
    <w:rsid w:val="007239C9"/>
    <w:rsid w:val="007369E9"/>
    <w:rsid w:val="007400A0"/>
    <w:rsid w:val="00741ECF"/>
    <w:rsid w:val="00746D1A"/>
    <w:rsid w:val="00754E59"/>
    <w:rsid w:val="00755611"/>
    <w:rsid w:val="00756207"/>
    <w:rsid w:val="00757FA9"/>
    <w:rsid w:val="0076158C"/>
    <w:rsid w:val="007622DD"/>
    <w:rsid w:val="00762B69"/>
    <w:rsid w:val="007643D9"/>
    <w:rsid w:val="00771856"/>
    <w:rsid w:val="00771FBF"/>
    <w:rsid w:val="0077460F"/>
    <w:rsid w:val="0078457F"/>
    <w:rsid w:val="00787818"/>
    <w:rsid w:val="00791499"/>
    <w:rsid w:val="00792DB3"/>
    <w:rsid w:val="007A44E7"/>
    <w:rsid w:val="007A5803"/>
    <w:rsid w:val="007B1501"/>
    <w:rsid w:val="007B1F9E"/>
    <w:rsid w:val="007B2D70"/>
    <w:rsid w:val="007C50E0"/>
    <w:rsid w:val="007C750D"/>
    <w:rsid w:val="007D3742"/>
    <w:rsid w:val="007D5EEA"/>
    <w:rsid w:val="007D5F51"/>
    <w:rsid w:val="007E2529"/>
    <w:rsid w:val="007E6F5B"/>
    <w:rsid w:val="007F5CFE"/>
    <w:rsid w:val="008046F2"/>
    <w:rsid w:val="00806A97"/>
    <w:rsid w:val="00826664"/>
    <w:rsid w:val="00827C08"/>
    <w:rsid w:val="008442D0"/>
    <w:rsid w:val="008466BA"/>
    <w:rsid w:val="00846870"/>
    <w:rsid w:val="0086197F"/>
    <w:rsid w:val="00862BA9"/>
    <w:rsid w:val="00865B15"/>
    <w:rsid w:val="00870CA1"/>
    <w:rsid w:val="00872991"/>
    <w:rsid w:val="008745C8"/>
    <w:rsid w:val="008775E2"/>
    <w:rsid w:val="0088681F"/>
    <w:rsid w:val="00890EA9"/>
    <w:rsid w:val="008A0C88"/>
    <w:rsid w:val="008A7E27"/>
    <w:rsid w:val="008B64BA"/>
    <w:rsid w:val="008C673E"/>
    <w:rsid w:val="008D40A5"/>
    <w:rsid w:val="008D7131"/>
    <w:rsid w:val="008F07F3"/>
    <w:rsid w:val="008F0A5F"/>
    <w:rsid w:val="008F0CF4"/>
    <w:rsid w:val="008F5C27"/>
    <w:rsid w:val="009013C0"/>
    <w:rsid w:val="00906DD4"/>
    <w:rsid w:val="009107C7"/>
    <w:rsid w:val="0092402B"/>
    <w:rsid w:val="009267F2"/>
    <w:rsid w:val="00930C11"/>
    <w:rsid w:val="00953FE5"/>
    <w:rsid w:val="0095593B"/>
    <w:rsid w:val="0096358F"/>
    <w:rsid w:val="009662FA"/>
    <w:rsid w:val="00974EEA"/>
    <w:rsid w:val="009836CB"/>
    <w:rsid w:val="00987673"/>
    <w:rsid w:val="00997208"/>
    <w:rsid w:val="009A150A"/>
    <w:rsid w:val="009A17F3"/>
    <w:rsid w:val="009A35EA"/>
    <w:rsid w:val="009B78B7"/>
    <w:rsid w:val="009C10A1"/>
    <w:rsid w:val="009D0320"/>
    <w:rsid w:val="009D752D"/>
    <w:rsid w:val="009D7760"/>
    <w:rsid w:val="009F2F18"/>
    <w:rsid w:val="009F37CD"/>
    <w:rsid w:val="00A03914"/>
    <w:rsid w:val="00A057F4"/>
    <w:rsid w:val="00A1025E"/>
    <w:rsid w:val="00A14731"/>
    <w:rsid w:val="00A2049C"/>
    <w:rsid w:val="00A20BDC"/>
    <w:rsid w:val="00A20F62"/>
    <w:rsid w:val="00A2121B"/>
    <w:rsid w:val="00A26C0D"/>
    <w:rsid w:val="00A2741D"/>
    <w:rsid w:val="00A365ED"/>
    <w:rsid w:val="00A46C16"/>
    <w:rsid w:val="00A50EAC"/>
    <w:rsid w:val="00A55B28"/>
    <w:rsid w:val="00A94B5D"/>
    <w:rsid w:val="00AC1957"/>
    <w:rsid w:val="00AC6002"/>
    <w:rsid w:val="00AD53C1"/>
    <w:rsid w:val="00AD7ADB"/>
    <w:rsid w:val="00AE3F9F"/>
    <w:rsid w:val="00AE44C8"/>
    <w:rsid w:val="00AE560C"/>
    <w:rsid w:val="00AF21B4"/>
    <w:rsid w:val="00AF7322"/>
    <w:rsid w:val="00B1614F"/>
    <w:rsid w:val="00B3353E"/>
    <w:rsid w:val="00B36660"/>
    <w:rsid w:val="00B4080B"/>
    <w:rsid w:val="00B5585E"/>
    <w:rsid w:val="00B74E71"/>
    <w:rsid w:val="00B7582B"/>
    <w:rsid w:val="00B874B6"/>
    <w:rsid w:val="00B968EC"/>
    <w:rsid w:val="00B9741E"/>
    <w:rsid w:val="00B974EC"/>
    <w:rsid w:val="00BA6737"/>
    <w:rsid w:val="00BB0480"/>
    <w:rsid w:val="00BB49FF"/>
    <w:rsid w:val="00BB60BA"/>
    <w:rsid w:val="00BB74C5"/>
    <w:rsid w:val="00BC3C06"/>
    <w:rsid w:val="00BC5808"/>
    <w:rsid w:val="00BC73EE"/>
    <w:rsid w:val="00BD6B5C"/>
    <w:rsid w:val="00BE1059"/>
    <w:rsid w:val="00BF12B1"/>
    <w:rsid w:val="00C045BD"/>
    <w:rsid w:val="00C11A4F"/>
    <w:rsid w:val="00C12884"/>
    <w:rsid w:val="00C132EF"/>
    <w:rsid w:val="00C274A6"/>
    <w:rsid w:val="00C31F9C"/>
    <w:rsid w:val="00C51A89"/>
    <w:rsid w:val="00C62C9B"/>
    <w:rsid w:val="00C63085"/>
    <w:rsid w:val="00C666F9"/>
    <w:rsid w:val="00C67AB3"/>
    <w:rsid w:val="00C75852"/>
    <w:rsid w:val="00C758A0"/>
    <w:rsid w:val="00C76043"/>
    <w:rsid w:val="00C86183"/>
    <w:rsid w:val="00CA6A59"/>
    <w:rsid w:val="00CA74DC"/>
    <w:rsid w:val="00CB4FBB"/>
    <w:rsid w:val="00CB594D"/>
    <w:rsid w:val="00CB5A56"/>
    <w:rsid w:val="00CC1093"/>
    <w:rsid w:val="00CD2C4D"/>
    <w:rsid w:val="00CD314F"/>
    <w:rsid w:val="00CD4610"/>
    <w:rsid w:val="00CD524B"/>
    <w:rsid w:val="00CD63FE"/>
    <w:rsid w:val="00CE1CA9"/>
    <w:rsid w:val="00CF461A"/>
    <w:rsid w:val="00D020AB"/>
    <w:rsid w:val="00D05562"/>
    <w:rsid w:val="00D23CD7"/>
    <w:rsid w:val="00D3615C"/>
    <w:rsid w:val="00D434D6"/>
    <w:rsid w:val="00D43F69"/>
    <w:rsid w:val="00D61691"/>
    <w:rsid w:val="00D63C05"/>
    <w:rsid w:val="00D642F0"/>
    <w:rsid w:val="00D760CA"/>
    <w:rsid w:val="00DA1DB2"/>
    <w:rsid w:val="00DB4EE5"/>
    <w:rsid w:val="00DD0FA8"/>
    <w:rsid w:val="00DD4D4F"/>
    <w:rsid w:val="00DD59C4"/>
    <w:rsid w:val="00DD5A72"/>
    <w:rsid w:val="00DE535C"/>
    <w:rsid w:val="00DE5DB2"/>
    <w:rsid w:val="00DF41F9"/>
    <w:rsid w:val="00E0133D"/>
    <w:rsid w:val="00E02EBB"/>
    <w:rsid w:val="00E04745"/>
    <w:rsid w:val="00E062E0"/>
    <w:rsid w:val="00E16036"/>
    <w:rsid w:val="00E32D4C"/>
    <w:rsid w:val="00E3349E"/>
    <w:rsid w:val="00E33ADB"/>
    <w:rsid w:val="00E55E10"/>
    <w:rsid w:val="00E63EDE"/>
    <w:rsid w:val="00E70D23"/>
    <w:rsid w:val="00E74D76"/>
    <w:rsid w:val="00E768E5"/>
    <w:rsid w:val="00E77E35"/>
    <w:rsid w:val="00E95458"/>
    <w:rsid w:val="00EA3FD4"/>
    <w:rsid w:val="00EA69AC"/>
    <w:rsid w:val="00EC1BF6"/>
    <w:rsid w:val="00EC7DAE"/>
    <w:rsid w:val="00ED523B"/>
    <w:rsid w:val="00EE16FC"/>
    <w:rsid w:val="00EE2E17"/>
    <w:rsid w:val="00EE31E5"/>
    <w:rsid w:val="00EF3895"/>
    <w:rsid w:val="00F004F4"/>
    <w:rsid w:val="00F007A2"/>
    <w:rsid w:val="00F02B8E"/>
    <w:rsid w:val="00F05ACA"/>
    <w:rsid w:val="00F05C8A"/>
    <w:rsid w:val="00F10383"/>
    <w:rsid w:val="00F1141E"/>
    <w:rsid w:val="00F16762"/>
    <w:rsid w:val="00F230B8"/>
    <w:rsid w:val="00F42226"/>
    <w:rsid w:val="00F42E9E"/>
    <w:rsid w:val="00F52A68"/>
    <w:rsid w:val="00F72269"/>
    <w:rsid w:val="00F77AA8"/>
    <w:rsid w:val="00F87B41"/>
    <w:rsid w:val="00F910D6"/>
    <w:rsid w:val="00F967A7"/>
    <w:rsid w:val="00FB3900"/>
    <w:rsid w:val="00FC16AD"/>
    <w:rsid w:val="00FC78AB"/>
    <w:rsid w:val="00FD255E"/>
    <w:rsid w:val="00FD3374"/>
    <w:rsid w:val="00FE586C"/>
    <w:rsid w:val="00FF0720"/>
    <w:rsid w:val="00FF64EA"/>
    <w:rsid w:val="01145951"/>
    <w:rsid w:val="01B24556"/>
    <w:rsid w:val="01F2753D"/>
    <w:rsid w:val="01FC36D0"/>
    <w:rsid w:val="022D3E9F"/>
    <w:rsid w:val="027A3F9F"/>
    <w:rsid w:val="028945B9"/>
    <w:rsid w:val="02AA4AEE"/>
    <w:rsid w:val="02BE378E"/>
    <w:rsid w:val="02DC2D3E"/>
    <w:rsid w:val="02EF77E1"/>
    <w:rsid w:val="03262037"/>
    <w:rsid w:val="034E77FA"/>
    <w:rsid w:val="03BF0DB3"/>
    <w:rsid w:val="04121F8B"/>
    <w:rsid w:val="042535DF"/>
    <w:rsid w:val="04361CF6"/>
    <w:rsid w:val="044C1C9B"/>
    <w:rsid w:val="04824374"/>
    <w:rsid w:val="048C0506"/>
    <w:rsid w:val="048F148B"/>
    <w:rsid w:val="04926B8C"/>
    <w:rsid w:val="049D299F"/>
    <w:rsid w:val="04E50B95"/>
    <w:rsid w:val="04FC07BA"/>
    <w:rsid w:val="05161364"/>
    <w:rsid w:val="056C7B74"/>
    <w:rsid w:val="057316FE"/>
    <w:rsid w:val="05C1727E"/>
    <w:rsid w:val="05DC58AA"/>
    <w:rsid w:val="05F354CF"/>
    <w:rsid w:val="05F77758"/>
    <w:rsid w:val="063E20CB"/>
    <w:rsid w:val="07044171"/>
    <w:rsid w:val="071333A8"/>
    <w:rsid w:val="071830B3"/>
    <w:rsid w:val="0729334D"/>
    <w:rsid w:val="0757641B"/>
    <w:rsid w:val="07FB3436"/>
    <w:rsid w:val="082A0972"/>
    <w:rsid w:val="083B668E"/>
    <w:rsid w:val="083F0917"/>
    <w:rsid w:val="09080360"/>
    <w:rsid w:val="09367BAA"/>
    <w:rsid w:val="095600DF"/>
    <w:rsid w:val="096E5786"/>
    <w:rsid w:val="098A7634"/>
    <w:rsid w:val="09AC048A"/>
    <w:rsid w:val="0A087F03"/>
    <w:rsid w:val="0A195C1F"/>
    <w:rsid w:val="0A565A84"/>
    <w:rsid w:val="0A852D4F"/>
    <w:rsid w:val="0AAC2C0F"/>
    <w:rsid w:val="0B1161B7"/>
    <w:rsid w:val="0B223ED3"/>
    <w:rsid w:val="0B7713DE"/>
    <w:rsid w:val="0B987394"/>
    <w:rsid w:val="0BBC40D1"/>
    <w:rsid w:val="0BBE75D4"/>
    <w:rsid w:val="0BF82C31"/>
    <w:rsid w:val="0C93502E"/>
    <w:rsid w:val="0CB258E3"/>
    <w:rsid w:val="0CE20630"/>
    <w:rsid w:val="0D5C5D7C"/>
    <w:rsid w:val="0D5E127F"/>
    <w:rsid w:val="0D807235"/>
    <w:rsid w:val="0E141CA7"/>
    <w:rsid w:val="0E2444C0"/>
    <w:rsid w:val="0EFD7A26"/>
    <w:rsid w:val="0EFE06EB"/>
    <w:rsid w:val="0F611949"/>
    <w:rsid w:val="0F961710"/>
    <w:rsid w:val="0FA658F2"/>
    <w:rsid w:val="0FC84B70"/>
    <w:rsid w:val="0FDE2597"/>
    <w:rsid w:val="0FF8546E"/>
    <w:rsid w:val="100F2D66"/>
    <w:rsid w:val="10196EF9"/>
    <w:rsid w:val="1093553E"/>
    <w:rsid w:val="10DA4102"/>
    <w:rsid w:val="11162294"/>
    <w:rsid w:val="117C54BB"/>
    <w:rsid w:val="11922EE2"/>
    <w:rsid w:val="11AD150E"/>
    <w:rsid w:val="11DF2FE2"/>
    <w:rsid w:val="11EC0FF2"/>
    <w:rsid w:val="120A3E26"/>
    <w:rsid w:val="1285131F"/>
    <w:rsid w:val="12BE4BCE"/>
    <w:rsid w:val="12E23B09"/>
    <w:rsid w:val="12E77F91"/>
    <w:rsid w:val="130D494D"/>
    <w:rsid w:val="13176561"/>
    <w:rsid w:val="131F00EB"/>
    <w:rsid w:val="139B0D39"/>
    <w:rsid w:val="14212297"/>
    <w:rsid w:val="1438443B"/>
    <w:rsid w:val="14B20501"/>
    <w:rsid w:val="14DD044C"/>
    <w:rsid w:val="16363F00"/>
    <w:rsid w:val="163F0F8C"/>
    <w:rsid w:val="16AC0B75"/>
    <w:rsid w:val="16EB272A"/>
    <w:rsid w:val="173A24A9"/>
    <w:rsid w:val="1813218C"/>
    <w:rsid w:val="1844295B"/>
    <w:rsid w:val="1876442F"/>
    <w:rsid w:val="18AA1406"/>
    <w:rsid w:val="18E018E0"/>
    <w:rsid w:val="19501B94"/>
    <w:rsid w:val="19505417"/>
    <w:rsid w:val="19A75E26"/>
    <w:rsid w:val="19E8300C"/>
    <w:rsid w:val="1A1A0363"/>
    <w:rsid w:val="1A487BAE"/>
    <w:rsid w:val="1B6C448D"/>
    <w:rsid w:val="1B722B13"/>
    <w:rsid w:val="1BD141B1"/>
    <w:rsid w:val="1BD815BE"/>
    <w:rsid w:val="1BE83DD7"/>
    <w:rsid w:val="1BEB27DD"/>
    <w:rsid w:val="1C3E0F62"/>
    <w:rsid w:val="1C4B0278"/>
    <w:rsid w:val="1C6A30AB"/>
    <w:rsid w:val="1CEC2380"/>
    <w:rsid w:val="1D3075F1"/>
    <w:rsid w:val="1D89582F"/>
    <w:rsid w:val="1DB652CB"/>
    <w:rsid w:val="1DD138F7"/>
    <w:rsid w:val="1DDE2C0D"/>
    <w:rsid w:val="1E707F7D"/>
    <w:rsid w:val="1E7E2B16"/>
    <w:rsid w:val="1E862121"/>
    <w:rsid w:val="1F197111"/>
    <w:rsid w:val="1FC45CB5"/>
    <w:rsid w:val="1FDD5F55"/>
    <w:rsid w:val="1FE245DC"/>
    <w:rsid w:val="2000198D"/>
    <w:rsid w:val="20A57152"/>
    <w:rsid w:val="2111724C"/>
    <w:rsid w:val="213F231A"/>
    <w:rsid w:val="215B41C8"/>
    <w:rsid w:val="21A91D49"/>
    <w:rsid w:val="21EA27B2"/>
    <w:rsid w:val="21FA2A4D"/>
    <w:rsid w:val="22225EEE"/>
    <w:rsid w:val="22333EAB"/>
    <w:rsid w:val="22384AB0"/>
    <w:rsid w:val="227A4620"/>
    <w:rsid w:val="22E948D4"/>
    <w:rsid w:val="230022FA"/>
    <w:rsid w:val="23011F7A"/>
    <w:rsid w:val="237A41C3"/>
    <w:rsid w:val="239F6981"/>
    <w:rsid w:val="241D0191"/>
    <w:rsid w:val="24885B33"/>
    <w:rsid w:val="248C7503"/>
    <w:rsid w:val="24A37128"/>
    <w:rsid w:val="24BF6A58"/>
    <w:rsid w:val="24E84399"/>
    <w:rsid w:val="24EC6623"/>
    <w:rsid w:val="24F536AF"/>
    <w:rsid w:val="250C32D4"/>
    <w:rsid w:val="251406E0"/>
    <w:rsid w:val="251A25EA"/>
    <w:rsid w:val="25454733"/>
    <w:rsid w:val="25893F23"/>
    <w:rsid w:val="25C42A83"/>
    <w:rsid w:val="260F1BFD"/>
    <w:rsid w:val="266A6A94"/>
    <w:rsid w:val="267D7CB3"/>
    <w:rsid w:val="26D5634E"/>
    <w:rsid w:val="26F853FE"/>
    <w:rsid w:val="27202D3F"/>
    <w:rsid w:val="27413274"/>
    <w:rsid w:val="27482BFF"/>
    <w:rsid w:val="27536A11"/>
    <w:rsid w:val="27665A32"/>
    <w:rsid w:val="27765CCC"/>
    <w:rsid w:val="27867BD8"/>
    <w:rsid w:val="27CE635B"/>
    <w:rsid w:val="2855533A"/>
    <w:rsid w:val="28896A8E"/>
    <w:rsid w:val="2892519F"/>
    <w:rsid w:val="2913316F"/>
    <w:rsid w:val="293A0E30"/>
    <w:rsid w:val="296A3B7E"/>
    <w:rsid w:val="296E0005"/>
    <w:rsid w:val="29772FC2"/>
    <w:rsid w:val="29BE3608"/>
    <w:rsid w:val="2A3D51DB"/>
    <w:rsid w:val="2ACD1247"/>
    <w:rsid w:val="2AD20F52"/>
    <w:rsid w:val="2B2E2565"/>
    <w:rsid w:val="2B9D609C"/>
    <w:rsid w:val="2BDB3982"/>
    <w:rsid w:val="2C1C21ED"/>
    <w:rsid w:val="2C2C2488"/>
    <w:rsid w:val="2C6557F3"/>
    <w:rsid w:val="2CB745EA"/>
    <w:rsid w:val="2CDF57AE"/>
    <w:rsid w:val="2D07566E"/>
    <w:rsid w:val="2E2E2ED2"/>
    <w:rsid w:val="2E34285D"/>
    <w:rsid w:val="2E552D91"/>
    <w:rsid w:val="2E747DC3"/>
    <w:rsid w:val="2E9F0D53"/>
    <w:rsid w:val="2F2C7572"/>
    <w:rsid w:val="2F680B8A"/>
    <w:rsid w:val="2F9E402D"/>
    <w:rsid w:val="2FCC1679"/>
    <w:rsid w:val="2FD00080"/>
    <w:rsid w:val="2FE0031A"/>
    <w:rsid w:val="30A04ED5"/>
    <w:rsid w:val="30BA5A7F"/>
    <w:rsid w:val="30DA5FB3"/>
    <w:rsid w:val="30EC3CCF"/>
    <w:rsid w:val="3109327F"/>
    <w:rsid w:val="313B2B55"/>
    <w:rsid w:val="31476967"/>
    <w:rsid w:val="31614F93"/>
    <w:rsid w:val="316E2FA4"/>
    <w:rsid w:val="31A237FE"/>
    <w:rsid w:val="326E1C4D"/>
    <w:rsid w:val="32774ADB"/>
    <w:rsid w:val="32956289"/>
    <w:rsid w:val="334E34B9"/>
    <w:rsid w:val="335069BC"/>
    <w:rsid w:val="337B3084"/>
    <w:rsid w:val="3380750C"/>
    <w:rsid w:val="33D90E9F"/>
    <w:rsid w:val="343A43BC"/>
    <w:rsid w:val="344D33DC"/>
    <w:rsid w:val="34704896"/>
    <w:rsid w:val="3541716C"/>
    <w:rsid w:val="363E08AB"/>
    <w:rsid w:val="36851D82"/>
    <w:rsid w:val="36BA0F57"/>
    <w:rsid w:val="36FE2AA6"/>
    <w:rsid w:val="3704484F"/>
    <w:rsid w:val="375458D3"/>
    <w:rsid w:val="3862000E"/>
    <w:rsid w:val="38815040"/>
    <w:rsid w:val="389307DD"/>
    <w:rsid w:val="38D160C4"/>
    <w:rsid w:val="38D812D2"/>
    <w:rsid w:val="393670ED"/>
    <w:rsid w:val="3941547E"/>
    <w:rsid w:val="39F871AB"/>
    <w:rsid w:val="3A9C1EB7"/>
    <w:rsid w:val="3AF060BE"/>
    <w:rsid w:val="3C48097A"/>
    <w:rsid w:val="3C7C10C8"/>
    <w:rsid w:val="3C8C7164"/>
    <w:rsid w:val="3CBD7933"/>
    <w:rsid w:val="3CE477F3"/>
    <w:rsid w:val="3D08452F"/>
    <w:rsid w:val="3D286FE2"/>
    <w:rsid w:val="3D595233"/>
    <w:rsid w:val="3D8D000C"/>
    <w:rsid w:val="3DEE3528"/>
    <w:rsid w:val="3E33621B"/>
    <w:rsid w:val="3E3F202E"/>
    <w:rsid w:val="3ED847AB"/>
    <w:rsid w:val="3EF4451B"/>
    <w:rsid w:val="3F33033C"/>
    <w:rsid w:val="3F9E326F"/>
    <w:rsid w:val="3FA81600"/>
    <w:rsid w:val="3FBA731C"/>
    <w:rsid w:val="3FDD07D5"/>
    <w:rsid w:val="3FF32979"/>
    <w:rsid w:val="3FFC5807"/>
    <w:rsid w:val="407C15D8"/>
    <w:rsid w:val="410E6949"/>
    <w:rsid w:val="4111534F"/>
    <w:rsid w:val="412C177C"/>
    <w:rsid w:val="41425B1E"/>
    <w:rsid w:val="418F3A1F"/>
    <w:rsid w:val="41D04488"/>
    <w:rsid w:val="41DE134E"/>
    <w:rsid w:val="4221770A"/>
    <w:rsid w:val="427F3327"/>
    <w:rsid w:val="42BC0C0E"/>
    <w:rsid w:val="43064505"/>
    <w:rsid w:val="431E1BAC"/>
    <w:rsid w:val="432A59BE"/>
    <w:rsid w:val="432C0EC1"/>
    <w:rsid w:val="43FC5D17"/>
    <w:rsid w:val="44112439"/>
    <w:rsid w:val="441930C8"/>
    <w:rsid w:val="442B6866"/>
    <w:rsid w:val="445A3B32"/>
    <w:rsid w:val="44775660"/>
    <w:rsid w:val="448D1ECE"/>
    <w:rsid w:val="44BF3856"/>
    <w:rsid w:val="44CC42BA"/>
    <w:rsid w:val="45030858"/>
    <w:rsid w:val="45292F05"/>
    <w:rsid w:val="453C7695"/>
    <w:rsid w:val="456F5BF8"/>
    <w:rsid w:val="460E69FB"/>
    <w:rsid w:val="461E6C96"/>
    <w:rsid w:val="463F2A4E"/>
    <w:rsid w:val="467C4AB1"/>
    <w:rsid w:val="46DC034D"/>
    <w:rsid w:val="47112DA6"/>
    <w:rsid w:val="479C4F08"/>
    <w:rsid w:val="47C22BCA"/>
    <w:rsid w:val="48603D4D"/>
    <w:rsid w:val="48711A69"/>
    <w:rsid w:val="48873C0C"/>
    <w:rsid w:val="488D5B16"/>
    <w:rsid w:val="48B91E5D"/>
    <w:rsid w:val="49B27E76"/>
    <w:rsid w:val="4A500C79"/>
    <w:rsid w:val="4A8920D8"/>
    <w:rsid w:val="4AC7330B"/>
    <w:rsid w:val="4AD9315C"/>
    <w:rsid w:val="4B1864C4"/>
    <w:rsid w:val="4B1B7449"/>
    <w:rsid w:val="4B3738A5"/>
    <w:rsid w:val="4B552AA6"/>
    <w:rsid w:val="4B874579"/>
    <w:rsid w:val="4B94388F"/>
    <w:rsid w:val="4BD92CFF"/>
    <w:rsid w:val="4C082549"/>
    <w:rsid w:val="4C513C42"/>
    <w:rsid w:val="4C660364"/>
    <w:rsid w:val="4C722920"/>
    <w:rsid w:val="4CAC0AD9"/>
    <w:rsid w:val="4CE36A34"/>
    <w:rsid w:val="4D233F9A"/>
    <w:rsid w:val="4DB5366A"/>
    <w:rsid w:val="4DE51ADA"/>
    <w:rsid w:val="4F350502"/>
    <w:rsid w:val="500F7E65"/>
    <w:rsid w:val="50696917"/>
    <w:rsid w:val="507D3D1D"/>
    <w:rsid w:val="509074BA"/>
    <w:rsid w:val="51457EE2"/>
    <w:rsid w:val="51850CCC"/>
    <w:rsid w:val="5186674D"/>
    <w:rsid w:val="51CA5F3D"/>
    <w:rsid w:val="523555EC"/>
    <w:rsid w:val="526C3548"/>
    <w:rsid w:val="527A4A5C"/>
    <w:rsid w:val="5295690B"/>
    <w:rsid w:val="52A6083A"/>
    <w:rsid w:val="53547C42"/>
    <w:rsid w:val="5357444A"/>
    <w:rsid w:val="53811EA4"/>
    <w:rsid w:val="53AC60D2"/>
    <w:rsid w:val="53C127F5"/>
    <w:rsid w:val="5443534C"/>
    <w:rsid w:val="54A775EF"/>
    <w:rsid w:val="54F31C6D"/>
    <w:rsid w:val="5510379B"/>
    <w:rsid w:val="55BA3C34"/>
    <w:rsid w:val="55F85C97"/>
    <w:rsid w:val="56B363CB"/>
    <w:rsid w:val="56EC7829"/>
    <w:rsid w:val="571760EF"/>
    <w:rsid w:val="574B30C6"/>
    <w:rsid w:val="57782C90"/>
    <w:rsid w:val="57902631"/>
    <w:rsid w:val="581E0EA0"/>
    <w:rsid w:val="582A2734"/>
    <w:rsid w:val="58882ACE"/>
    <w:rsid w:val="58E24461"/>
    <w:rsid w:val="59C44A54"/>
    <w:rsid w:val="59C83E0B"/>
    <w:rsid w:val="5AE34EAB"/>
    <w:rsid w:val="5AF8693C"/>
    <w:rsid w:val="5B0453E0"/>
    <w:rsid w:val="5B481886"/>
    <w:rsid w:val="5B692B86"/>
    <w:rsid w:val="5B833730"/>
    <w:rsid w:val="5B9B0DD6"/>
    <w:rsid w:val="5BDF6048"/>
    <w:rsid w:val="5BF714F0"/>
    <w:rsid w:val="5C235838"/>
    <w:rsid w:val="5C626621"/>
    <w:rsid w:val="5C7F48CC"/>
    <w:rsid w:val="5CAB4497"/>
    <w:rsid w:val="5D911291"/>
    <w:rsid w:val="5DA03AAA"/>
    <w:rsid w:val="5DDF358F"/>
    <w:rsid w:val="5E1A65FC"/>
    <w:rsid w:val="5E40232F"/>
    <w:rsid w:val="5E885FA6"/>
    <w:rsid w:val="5EA345D2"/>
    <w:rsid w:val="5EA7685B"/>
    <w:rsid w:val="5EB67D6F"/>
    <w:rsid w:val="5F312F3C"/>
    <w:rsid w:val="5FDD3055"/>
    <w:rsid w:val="60076417"/>
    <w:rsid w:val="60D535ED"/>
    <w:rsid w:val="60DD09F9"/>
    <w:rsid w:val="6138200C"/>
    <w:rsid w:val="61C21F70"/>
    <w:rsid w:val="62061760"/>
    <w:rsid w:val="625D436D"/>
    <w:rsid w:val="628345AD"/>
    <w:rsid w:val="62CF33A7"/>
    <w:rsid w:val="62D42F14"/>
    <w:rsid w:val="62D665B5"/>
    <w:rsid w:val="62E32048"/>
    <w:rsid w:val="62FE3EF7"/>
    <w:rsid w:val="633A62DA"/>
    <w:rsid w:val="63433366"/>
    <w:rsid w:val="638F59E4"/>
    <w:rsid w:val="63B32720"/>
    <w:rsid w:val="63CE45CF"/>
    <w:rsid w:val="63E279EC"/>
    <w:rsid w:val="63EF1280"/>
    <w:rsid w:val="641D434E"/>
    <w:rsid w:val="64644411"/>
    <w:rsid w:val="64B7454D"/>
    <w:rsid w:val="653A5A1F"/>
    <w:rsid w:val="654308AD"/>
    <w:rsid w:val="65740183"/>
    <w:rsid w:val="65AA1556"/>
    <w:rsid w:val="65E21B9A"/>
    <w:rsid w:val="661F281A"/>
    <w:rsid w:val="6633161B"/>
    <w:rsid w:val="66822AB6"/>
    <w:rsid w:val="67697339"/>
    <w:rsid w:val="67CC5D59"/>
    <w:rsid w:val="67DA506E"/>
    <w:rsid w:val="67EC4311"/>
    <w:rsid w:val="68026233"/>
    <w:rsid w:val="68562439"/>
    <w:rsid w:val="687377EB"/>
    <w:rsid w:val="68916D9B"/>
    <w:rsid w:val="68D4658B"/>
    <w:rsid w:val="69783816"/>
    <w:rsid w:val="69DC6DBD"/>
    <w:rsid w:val="6A696621"/>
    <w:rsid w:val="6A9661EC"/>
    <w:rsid w:val="6A9D13FA"/>
    <w:rsid w:val="6AA06AFB"/>
    <w:rsid w:val="6AD824D8"/>
    <w:rsid w:val="6B0542A1"/>
    <w:rsid w:val="6BAC37B5"/>
    <w:rsid w:val="6BCE176C"/>
    <w:rsid w:val="6BF33F2A"/>
    <w:rsid w:val="6BFD22BB"/>
    <w:rsid w:val="6C4A37D0"/>
    <w:rsid w:val="6C5F105B"/>
    <w:rsid w:val="6C9172AB"/>
    <w:rsid w:val="6CA517CF"/>
    <w:rsid w:val="6CD43218"/>
    <w:rsid w:val="6CF33ACD"/>
    <w:rsid w:val="6D0D3C7B"/>
    <w:rsid w:val="6D23681A"/>
    <w:rsid w:val="6D8B4F45"/>
    <w:rsid w:val="6D997ADE"/>
    <w:rsid w:val="6DF05F6E"/>
    <w:rsid w:val="6E5E65A2"/>
    <w:rsid w:val="6E7177C1"/>
    <w:rsid w:val="6E7603C5"/>
    <w:rsid w:val="6E9C0605"/>
    <w:rsid w:val="6EBF78C0"/>
    <w:rsid w:val="6EFA6420"/>
    <w:rsid w:val="6F181253"/>
    <w:rsid w:val="6F3E7E0E"/>
    <w:rsid w:val="6F6E095D"/>
    <w:rsid w:val="6F8F4715"/>
    <w:rsid w:val="701C77FC"/>
    <w:rsid w:val="7075349F"/>
    <w:rsid w:val="70DC0E8D"/>
    <w:rsid w:val="70F76266"/>
    <w:rsid w:val="71321543"/>
    <w:rsid w:val="717F3BC0"/>
    <w:rsid w:val="71845ACA"/>
    <w:rsid w:val="71A63A80"/>
    <w:rsid w:val="71F009FC"/>
    <w:rsid w:val="7204189B"/>
    <w:rsid w:val="72427182"/>
    <w:rsid w:val="72434C03"/>
    <w:rsid w:val="726760BC"/>
    <w:rsid w:val="72A204A0"/>
    <w:rsid w:val="73252FF8"/>
    <w:rsid w:val="732D2602"/>
    <w:rsid w:val="735D0BD3"/>
    <w:rsid w:val="73861D97"/>
    <w:rsid w:val="73A43546"/>
    <w:rsid w:val="740C7A72"/>
    <w:rsid w:val="743A648C"/>
    <w:rsid w:val="757A7C49"/>
    <w:rsid w:val="757C314C"/>
    <w:rsid w:val="759D1102"/>
    <w:rsid w:val="75FD499F"/>
    <w:rsid w:val="763A0087"/>
    <w:rsid w:val="76606C42"/>
    <w:rsid w:val="769B35A3"/>
    <w:rsid w:val="76FE5846"/>
    <w:rsid w:val="77100FE4"/>
    <w:rsid w:val="7781259C"/>
    <w:rsid w:val="780743B4"/>
    <w:rsid w:val="784513E1"/>
    <w:rsid w:val="78AB374D"/>
    <w:rsid w:val="78E57C65"/>
    <w:rsid w:val="78E8666B"/>
    <w:rsid w:val="78ED2AF3"/>
    <w:rsid w:val="790D0E29"/>
    <w:rsid w:val="79882CF2"/>
    <w:rsid w:val="79C1634F"/>
    <w:rsid w:val="79C27653"/>
    <w:rsid w:val="7A2B7F7C"/>
    <w:rsid w:val="7AFB2BD3"/>
    <w:rsid w:val="7B35042F"/>
    <w:rsid w:val="7B540CE3"/>
    <w:rsid w:val="7B777F9E"/>
    <w:rsid w:val="7BA577E9"/>
    <w:rsid w:val="7BAB16F2"/>
    <w:rsid w:val="7C5837EA"/>
    <w:rsid w:val="7C664024"/>
    <w:rsid w:val="7C9E7A01"/>
    <w:rsid w:val="7CFA4897"/>
    <w:rsid w:val="7D551638"/>
    <w:rsid w:val="7DB62A4C"/>
    <w:rsid w:val="7E335899"/>
    <w:rsid w:val="7E6A7F71"/>
    <w:rsid w:val="7E8678A1"/>
    <w:rsid w:val="7EFD07E5"/>
    <w:rsid w:val="7F572178"/>
    <w:rsid w:val="7F5E7584"/>
    <w:rsid w:val="7F7822F9"/>
    <w:rsid w:val="7F8B714F"/>
    <w:rsid w:val="7FC32B2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uiPriority="0" w:name="footnote text"/>
    <w:lsdException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4">
    <w:name w:val="heading 3"/>
    <w:basedOn w:val="1"/>
    <w:next w:val="1"/>
    <w:link w:val="37"/>
    <w:unhideWhenUsed/>
    <w:qFormat/>
    <w:uiPriority w:val="0"/>
    <w:pPr>
      <w:keepNext/>
      <w:keepLines/>
      <w:spacing w:line="600" w:lineRule="exact"/>
      <w:ind w:firstLine="640" w:firstLineChars="200"/>
      <w:outlineLvl w:val="2"/>
    </w:pPr>
    <w:rPr>
      <w:rFonts w:eastAsia="仿宋_GB2312"/>
      <w:b/>
      <w:sz w:val="32"/>
    </w:rPr>
  </w:style>
  <w:style w:type="character" w:default="1" w:styleId="21">
    <w:name w:val="Default Paragraph Font"/>
    <w:unhideWhenUsed/>
    <w:uiPriority w:val="1"/>
  </w:style>
  <w:style w:type="table" w:default="1" w:styleId="25">
    <w:name w:val="Normal Table"/>
    <w:unhideWhenUsed/>
    <w:uiPriority w:val="99"/>
    <w:tblPr>
      <w:tblStyle w:val="25"/>
      <w:tblLayout w:type="fixed"/>
      <w:tblCellMar>
        <w:top w:w="0" w:type="dxa"/>
        <w:left w:w="108" w:type="dxa"/>
        <w:bottom w:w="0" w:type="dxa"/>
        <w:right w:w="108" w:type="dxa"/>
      </w:tblCellMar>
    </w:tblPr>
    <w:tcPr>
      <w:textDirection w:val="lrTb"/>
    </w:tcPr>
  </w:style>
  <w:style w:type="paragraph" w:styleId="2">
    <w:name w:val="toc 2"/>
    <w:basedOn w:val="1"/>
    <w:next w:val="1"/>
    <w:unhideWhenUsed/>
    <w:uiPriority w:val="39"/>
    <w:pPr>
      <w:tabs>
        <w:tab w:val="left" w:pos="-283"/>
        <w:tab w:val="right" w:leader="dot" w:pos="8296"/>
      </w:tabs>
      <w:ind w:left="-286" w:leftChars="-136" w:firstLine="286"/>
    </w:pPr>
    <w:rPr>
      <w:rFonts w:ascii="楷体_GB2312" w:eastAsia="楷体_GB2312"/>
      <w:szCs w:val="21"/>
    </w:rPr>
  </w:style>
  <w:style w:type="paragraph" w:styleId="5">
    <w:name w:val="annotation subject"/>
    <w:basedOn w:val="6"/>
    <w:next w:val="6"/>
    <w:link w:val="41"/>
    <w:unhideWhenUsed/>
    <w:uiPriority w:val="0"/>
    <w:rPr>
      <w:b/>
      <w:bCs/>
    </w:rPr>
  </w:style>
  <w:style w:type="paragraph" w:styleId="6">
    <w:name w:val="annotation text"/>
    <w:basedOn w:val="1"/>
    <w:link w:val="40"/>
    <w:unhideWhenUsed/>
    <w:uiPriority w:val="0"/>
    <w:pPr>
      <w:jc w:val="left"/>
    </w:pPr>
  </w:style>
  <w:style w:type="paragraph" w:styleId="7">
    <w:name w:val="toc 7"/>
    <w:basedOn w:val="1"/>
    <w:next w:val="1"/>
    <w:unhideWhenUsed/>
    <w:uiPriority w:val="39"/>
    <w:pPr>
      <w:ind w:left="2520" w:leftChars="1200"/>
    </w:pPr>
    <w:rPr>
      <w:szCs w:val="22"/>
    </w:rPr>
  </w:style>
  <w:style w:type="paragraph" w:styleId="8">
    <w:name w:val="toc 5"/>
    <w:basedOn w:val="1"/>
    <w:next w:val="1"/>
    <w:unhideWhenUsed/>
    <w:uiPriority w:val="39"/>
    <w:pPr>
      <w:ind w:left="1680" w:leftChars="800"/>
    </w:pPr>
    <w:rPr>
      <w:szCs w:val="22"/>
    </w:rPr>
  </w:style>
  <w:style w:type="paragraph" w:styleId="9">
    <w:name w:val="toc 3"/>
    <w:basedOn w:val="1"/>
    <w:next w:val="1"/>
    <w:unhideWhenUsed/>
    <w:uiPriority w:val="39"/>
    <w:pPr>
      <w:tabs>
        <w:tab w:val="right" w:leader="dot" w:pos="8296"/>
      </w:tabs>
      <w:ind w:left="840" w:leftChars="400"/>
    </w:pPr>
    <w:rPr>
      <w:rFonts w:ascii="仿宋_GB2312" w:hAnsi="Times New Roman" w:eastAsia="仿宋_GB2312" w:cs="Times New Roman"/>
      <w:bCs/>
      <w:kern w:val="0"/>
    </w:rPr>
  </w:style>
  <w:style w:type="paragraph" w:styleId="10">
    <w:name w:val="Plain Text"/>
    <w:basedOn w:val="1"/>
    <w:unhideWhenUsed/>
    <w:uiPriority w:val="0"/>
    <w:rPr>
      <w:rFonts w:ascii="宋体" w:hAnsi="Courier New" w:cs="Times New Roman"/>
      <w:sz w:val="30"/>
    </w:rPr>
  </w:style>
  <w:style w:type="paragraph" w:styleId="11">
    <w:name w:val="toc 8"/>
    <w:basedOn w:val="1"/>
    <w:next w:val="1"/>
    <w:unhideWhenUsed/>
    <w:uiPriority w:val="39"/>
    <w:pPr>
      <w:ind w:left="2940" w:leftChars="1400"/>
    </w:pPr>
    <w:rPr>
      <w:szCs w:val="22"/>
    </w:rPr>
  </w:style>
  <w:style w:type="paragraph" w:styleId="12">
    <w:name w:val="Date"/>
    <w:basedOn w:val="1"/>
    <w:next w:val="1"/>
    <w:link w:val="36"/>
    <w:unhideWhenUsed/>
    <w:uiPriority w:val="99"/>
    <w:pPr>
      <w:ind w:left="100" w:leftChars="2500"/>
    </w:pPr>
  </w:style>
  <w:style w:type="paragraph" w:styleId="13">
    <w:name w:val="Balloon Text"/>
    <w:basedOn w:val="1"/>
    <w:link w:val="39"/>
    <w:unhideWhenUsed/>
    <w:uiPriority w:val="99"/>
    <w:rPr>
      <w:sz w:val="18"/>
      <w:szCs w:val="18"/>
    </w:rPr>
  </w:style>
  <w:style w:type="paragraph" w:styleId="14">
    <w:name w:val="footer"/>
    <w:basedOn w:val="1"/>
    <w:link w:val="35"/>
    <w:unhideWhenUsed/>
    <w:uiPriority w:val="99"/>
    <w:pPr>
      <w:tabs>
        <w:tab w:val="center" w:pos="4153"/>
        <w:tab w:val="right" w:pos="8306"/>
      </w:tabs>
      <w:snapToGrid w:val="0"/>
      <w:jc w:val="left"/>
    </w:pPr>
    <w:rPr>
      <w:sz w:val="18"/>
      <w:szCs w:val="18"/>
    </w:rPr>
  </w:style>
  <w:style w:type="paragraph" w:styleId="15">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uiPriority w:val="39"/>
  </w:style>
  <w:style w:type="paragraph" w:styleId="17">
    <w:name w:val="toc 4"/>
    <w:basedOn w:val="1"/>
    <w:next w:val="1"/>
    <w:unhideWhenUsed/>
    <w:uiPriority w:val="39"/>
    <w:pPr>
      <w:ind w:left="1260" w:leftChars="600"/>
    </w:pPr>
    <w:rPr>
      <w:szCs w:val="22"/>
    </w:rPr>
  </w:style>
  <w:style w:type="paragraph" w:styleId="18">
    <w:name w:val="toc 6"/>
    <w:basedOn w:val="1"/>
    <w:next w:val="1"/>
    <w:unhideWhenUsed/>
    <w:uiPriority w:val="39"/>
    <w:pPr>
      <w:ind w:left="2100" w:leftChars="1000"/>
    </w:pPr>
    <w:rPr>
      <w:szCs w:val="22"/>
    </w:rPr>
  </w:style>
  <w:style w:type="paragraph" w:styleId="19">
    <w:name w:val="toc 9"/>
    <w:basedOn w:val="1"/>
    <w:next w:val="1"/>
    <w:unhideWhenUsed/>
    <w:uiPriority w:val="39"/>
    <w:pPr>
      <w:ind w:left="3360" w:leftChars="1600"/>
    </w:pPr>
    <w:rPr>
      <w:szCs w:val="22"/>
    </w:rPr>
  </w:style>
  <w:style w:type="paragraph" w:styleId="20">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22">
    <w:name w:val="page number"/>
    <w:basedOn w:val="21"/>
    <w:unhideWhenUsed/>
    <w:uiPriority w:val="0"/>
    <w:rPr/>
  </w:style>
  <w:style w:type="character" w:styleId="23">
    <w:name w:val="Hyperlink"/>
    <w:basedOn w:val="21"/>
    <w:unhideWhenUsed/>
    <w:uiPriority w:val="99"/>
    <w:rPr>
      <w:color w:val="0563C1"/>
      <w:u w:val="single"/>
    </w:rPr>
  </w:style>
  <w:style w:type="character" w:styleId="24">
    <w:name w:val="annotation reference"/>
    <w:basedOn w:val="21"/>
    <w:unhideWhenUsed/>
    <w:uiPriority w:val="0"/>
    <w:rPr>
      <w:sz w:val="21"/>
      <w:szCs w:val="21"/>
    </w:rPr>
  </w:style>
  <w:style w:type="paragraph" w:customStyle="1" w:styleId="26">
    <w:name w:val="Char Char Char Char Char Char Char"/>
    <w:basedOn w:val="27"/>
    <w:uiPriority w:val="0"/>
    <w:pPr>
      <w:widowControl/>
      <w:adjustRightInd w:val="0"/>
      <w:spacing w:after="160" w:line="240" w:lineRule="exact"/>
      <w:jc w:val="left"/>
      <w:textAlignment w:val="baseline"/>
    </w:pPr>
  </w:style>
  <w:style w:type="paragraph" w:customStyle="1" w:styleId="27">
    <w:name w:val="正文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列出段落1"/>
    <w:basedOn w:val="1"/>
    <w:qFormat/>
    <w:uiPriority w:val="34"/>
    <w:pPr>
      <w:ind w:firstLine="420" w:firstLineChars="200"/>
    </w:pPr>
    <w:rPr>
      <w:rFonts w:cs="Times New Roman"/>
      <w:szCs w:val="22"/>
    </w:rPr>
  </w:style>
  <w:style w:type="paragraph" w:customStyle="1" w:styleId="29">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D73B3"/>
      <w:kern w:val="0"/>
      <w:sz w:val="32"/>
      <w:szCs w:val="32"/>
    </w:rPr>
  </w:style>
  <w:style w:type="paragraph" w:customStyle="1" w:styleId="30">
    <w:name w:val="Char Char1 Char Char Char Char Char Char Char Char Char Char Char Char Char"/>
    <w:basedOn w:val="1"/>
    <w:uiPriority w:val="0"/>
    <w:pPr>
      <w:spacing w:line="360" w:lineRule="auto"/>
    </w:pPr>
    <w:rPr>
      <w:rFonts w:ascii="Times New Roman" w:hAnsi="Times New Roman" w:cs="Times New Roman"/>
    </w:rPr>
  </w:style>
  <w:style w:type="paragraph" w:customStyle="1" w:styleId="31">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修订1"/>
    <w:hidden/>
    <w:semiHidden/>
    <w:uiPriority w:val="99"/>
    <w:rPr>
      <w:rFonts w:ascii="Calibri" w:hAnsi="Calibri" w:eastAsia="宋体" w:cs="黑体"/>
      <w:kern w:val="2"/>
      <w:sz w:val="21"/>
      <w:szCs w:val="24"/>
      <w:lang w:val="en-US" w:eastAsia="zh-CN" w:bidi="ar-SA"/>
    </w:rPr>
  </w:style>
  <w:style w:type="paragraph" w:customStyle="1" w:styleId="33">
    <w:name w:val="Revision"/>
    <w:hidden/>
    <w:semiHidden/>
    <w:uiPriority w:val="99"/>
    <w:rPr>
      <w:rFonts w:ascii="Calibri" w:hAnsi="Calibri" w:eastAsia="宋体" w:cs="黑体"/>
      <w:kern w:val="2"/>
      <w:sz w:val="21"/>
      <w:szCs w:val="24"/>
      <w:lang w:val="en-US" w:eastAsia="zh-CN" w:bidi="ar-SA"/>
    </w:rPr>
  </w:style>
  <w:style w:type="character" w:customStyle="1" w:styleId="34">
    <w:name w:val="页眉 Char"/>
    <w:basedOn w:val="21"/>
    <w:link w:val="15"/>
    <w:uiPriority w:val="99"/>
    <w:rPr>
      <w:sz w:val="18"/>
      <w:szCs w:val="18"/>
    </w:rPr>
  </w:style>
  <w:style w:type="character" w:customStyle="1" w:styleId="35">
    <w:name w:val="页脚 Char"/>
    <w:basedOn w:val="21"/>
    <w:link w:val="14"/>
    <w:uiPriority w:val="99"/>
    <w:rPr>
      <w:sz w:val="18"/>
      <w:szCs w:val="18"/>
    </w:rPr>
  </w:style>
  <w:style w:type="character" w:customStyle="1" w:styleId="36">
    <w:name w:val="日期 Char"/>
    <w:basedOn w:val="21"/>
    <w:link w:val="12"/>
    <w:semiHidden/>
    <w:uiPriority w:val="99"/>
    <w:rPr>
      <w:szCs w:val="24"/>
    </w:rPr>
  </w:style>
  <w:style w:type="character" w:customStyle="1" w:styleId="37">
    <w:name w:val="标题 3 Char"/>
    <w:basedOn w:val="21"/>
    <w:link w:val="4"/>
    <w:uiPriority w:val="0"/>
    <w:rPr>
      <w:rFonts w:eastAsia="仿宋_GB2312"/>
      <w:b/>
      <w:sz w:val="32"/>
      <w:szCs w:val="24"/>
    </w:rPr>
  </w:style>
  <w:style w:type="character" w:customStyle="1" w:styleId="38">
    <w:name w:val="标题 1 Char"/>
    <w:basedOn w:val="21"/>
    <w:link w:val="3"/>
    <w:uiPriority w:val="9"/>
    <w:rPr>
      <w:b/>
      <w:bCs/>
      <w:kern w:val="44"/>
      <w:sz w:val="44"/>
      <w:szCs w:val="44"/>
    </w:rPr>
  </w:style>
  <w:style w:type="character" w:customStyle="1" w:styleId="39">
    <w:name w:val="批注框文本 Char"/>
    <w:basedOn w:val="21"/>
    <w:link w:val="13"/>
    <w:semiHidden/>
    <w:uiPriority w:val="99"/>
    <w:rPr>
      <w:sz w:val="18"/>
      <w:szCs w:val="18"/>
    </w:rPr>
  </w:style>
  <w:style w:type="character" w:customStyle="1" w:styleId="40">
    <w:name w:val="批注文字 Char"/>
    <w:basedOn w:val="21"/>
    <w:link w:val="6"/>
    <w:uiPriority w:val="0"/>
    <w:rPr>
      <w:rFonts w:ascii="Calibri" w:hAnsi="Calibri" w:cs="黑体"/>
      <w:kern w:val="2"/>
      <w:sz w:val="21"/>
      <w:szCs w:val="24"/>
    </w:rPr>
  </w:style>
  <w:style w:type="character" w:customStyle="1" w:styleId="41">
    <w:name w:val="批注主题 Char"/>
    <w:basedOn w:val="40"/>
    <w:link w:val="5"/>
    <w:semiHidden/>
    <w:uiPriority w:val="0"/>
    <w:rPr>
      <w:rFonts w:ascii="Calibri" w:hAnsi="Calibri" w:cs="黑体"/>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35</Pages>
  <Words>3032</Words>
  <Characters>17289</Characters>
  <Lines>144</Lines>
  <Paragraphs>40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2021-07-28T09:33:00Z</dcterms:created>
  <dc:creator>User</dc:creator>
  <cp:lastModifiedBy>黄均万</cp:lastModifiedBy>
  <cp:lastPrinted>2021-07-28T09:26:00Z</cp:lastPrinted>
  <dcterms:modified xsi:type="dcterms:W3CDTF">2021-08-02T01:28:05Z</dcterms:modified>
  <dc:title>清远市知识产权事业发展第十四个五年规划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