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C3F" w:rsidRDefault="00432C3F" w:rsidP="00432C3F">
      <w:pPr>
        <w:pStyle w:val="2"/>
        <w:ind w:leftChars="0" w:left="0"/>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附件1</w:t>
      </w:r>
    </w:p>
    <w:p w:rsidR="00432C3F" w:rsidRDefault="00432C3F" w:rsidP="00432C3F">
      <w:pPr>
        <w:spacing w:beforeLines="100" w:before="312" w:afterLines="100" w:after="312" w:line="600" w:lineRule="exact"/>
        <w:jc w:val="center"/>
        <w:rPr>
          <w:rFonts w:ascii="仿宋" w:eastAsia="仿宋" w:hAnsi="仿宋" w:cs="方正小标宋简体" w:hint="eastAsia"/>
          <w:b/>
          <w:bCs/>
          <w:sz w:val="36"/>
          <w:szCs w:val="36"/>
        </w:rPr>
      </w:pPr>
      <w:bookmarkStart w:id="0" w:name="_GoBack"/>
      <w:r>
        <w:rPr>
          <w:rFonts w:ascii="方正小标宋简体" w:eastAsia="方正小标宋简体" w:hAnsi="方正小标宋简体" w:cs="方正小标宋简体" w:hint="eastAsia"/>
          <w:sz w:val="44"/>
          <w:szCs w:val="44"/>
        </w:rPr>
        <w:t>广东省绿色社区创建工作要求（试行）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1985"/>
        <w:gridCol w:w="5528"/>
      </w:tblGrid>
      <w:tr w:rsidR="00432C3F" w:rsidTr="000D5680">
        <w:trPr>
          <w:trHeight w:val="59"/>
        </w:trPr>
        <w:tc>
          <w:tcPr>
            <w:tcW w:w="817" w:type="dxa"/>
            <w:shd w:val="clear" w:color="auto" w:fill="FFFFFF"/>
            <w:vAlign w:val="center"/>
          </w:tcPr>
          <w:bookmarkEnd w:id="0"/>
          <w:p w:rsidR="00432C3F" w:rsidRDefault="00432C3F" w:rsidP="000D5680">
            <w:pPr>
              <w:spacing w:line="440" w:lineRule="exact"/>
              <w:jc w:val="center"/>
              <w:rPr>
                <w:rFonts w:ascii="黑体" w:eastAsia="黑体" w:hAnsi="黑体" w:cs="黑体" w:hint="eastAsia"/>
                <w:sz w:val="30"/>
                <w:szCs w:val="30"/>
              </w:rPr>
            </w:pPr>
            <w:r>
              <w:rPr>
                <w:rFonts w:ascii="黑体" w:eastAsia="黑体" w:hAnsi="黑体" w:cs="黑体" w:hint="eastAsia"/>
                <w:sz w:val="30"/>
                <w:szCs w:val="30"/>
              </w:rPr>
              <w:t>内  容</w:t>
            </w:r>
          </w:p>
        </w:tc>
        <w:tc>
          <w:tcPr>
            <w:tcW w:w="2552" w:type="dxa"/>
            <w:gridSpan w:val="2"/>
            <w:shd w:val="clear" w:color="auto" w:fill="FFFFFF"/>
            <w:vAlign w:val="center"/>
          </w:tcPr>
          <w:p w:rsidR="00432C3F" w:rsidRDefault="00432C3F" w:rsidP="000D5680">
            <w:pPr>
              <w:spacing w:line="440" w:lineRule="exact"/>
              <w:jc w:val="center"/>
              <w:rPr>
                <w:rFonts w:ascii="黑体" w:eastAsia="黑体" w:hAnsi="黑体" w:cs="黑体" w:hint="eastAsia"/>
                <w:sz w:val="30"/>
                <w:szCs w:val="30"/>
              </w:rPr>
            </w:pPr>
            <w:r>
              <w:rPr>
                <w:rFonts w:ascii="黑体" w:eastAsia="黑体" w:hAnsi="黑体" w:cs="黑体" w:hint="eastAsia"/>
                <w:sz w:val="30"/>
                <w:szCs w:val="30"/>
              </w:rPr>
              <w:t>创建标准</w:t>
            </w:r>
          </w:p>
        </w:tc>
        <w:tc>
          <w:tcPr>
            <w:tcW w:w="5528" w:type="dxa"/>
            <w:shd w:val="clear" w:color="auto" w:fill="FFFFFF"/>
            <w:vAlign w:val="center"/>
          </w:tcPr>
          <w:p w:rsidR="00432C3F" w:rsidRDefault="00432C3F" w:rsidP="000D5680">
            <w:pPr>
              <w:spacing w:line="440" w:lineRule="exact"/>
              <w:jc w:val="center"/>
              <w:rPr>
                <w:rFonts w:ascii="黑体" w:eastAsia="黑体" w:hAnsi="黑体" w:cs="黑体" w:hint="eastAsia"/>
                <w:sz w:val="30"/>
                <w:szCs w:val="30"/>
              </w:rPr>
            </w:pPr>
            <w:r>
              <w:rPr>
                <w:rFonts w:ascii="黑体" w:eastAsia="黑体" w:hAnsi="黑体" w:cs="黑体" w:hint="eastAsia"/>
                <w:sz w:val="30"/>
                <w:szCs w:val="30"/>
              </w:rPr>
              <w:t>工作要求</w:t>
            </w:r>
          </w:p>
        </w:tc>
      </w:tr>
      <w:tr w:rsidR="00432C3F" w:rsidTr="000D5680">
        <w:trPr>
          <w:trHeight w:val="648"/>
        </w:trPr>
        <w:tc>
          <w:tcPr>
            <w:tcW w:w="817"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建立健全社区人居环境建设和整治机制</w:t>
            </w: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1</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坚持美好环境与幸福生活共同缔造理念，各主体共同参与社区人居环境建设和整治工作</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1</w:t>
            </w:r>
            <w:r>
              <w:rPr>
                <w:rFonts w:ascii="仿宋_GB2312" w:eastAsia="仿宋_GB2312" w:hAnsi="仿宋" w:cs="仿宋_GB2312"/>
                <w:sz w:val="24"/>
              </w:rPr>
              <w:t>.1</w:t>
            </w:r>
            <w:r>
              <w:rPr>
                <w:rFonts w:ascii="仿宋_GB2312" w:eastAsia="仿宋_GB2312" w:hAnsi="仿宋" w:cs="仿宋_GB2312" w:hint="eastAsia"/>
                <w:sz w:val="24"/>
              </w:rPr>
              <w:t>社区层面建立党建引领的基层治理机制，社区党组织对绿色社区创建工作的领导作用突出。</w:t>
            </w:r>
          </w:p>
        </w:tc>
      </w:tr>
      <w:tr w:rsidR="00432C3F" w:rsidTr="000D5680">
        <w:trPr>
          <w:trHeight w:val="199"/>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1.2形成了多方参与的绿色社区创建工作机制。</w:t>
            </w:r>
          </w:p>
        </w:tc>
      </w:tr>
      <w:tr w:rsidR="00432C3F" w:rsidTr="000D5680">
        <w:trPr>
          <w:trHeight w:val="427"/>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1.3通过协商制定了内容完整、切实可行的绿色社区创建工作计划并逐步推进实施。</w:t>
            </w:r>
          </w:p>
        </w:tc>
      </w:tr>
      <w:tr w:rsidR="00432C3F" w:rsidTr="000D5680">
        <w:trPr>
          <w:trHeight w:val="921"/>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2</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搭建沟通议事平台，利用“互联网+共建共治共享”等线上线下手段，开展多种形式基层协商</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2.1建立社区管理的公众参与机制，围绕绿色社区创建召开了联席会议。</w:t>
            </w:r>
          </w:p>
        </w:tc>
      </w:tr>
      <w:tr w:rsidR="00432C3F" w:rsidTr="000D5680">
        <w:trPr>
          <w:trHeight w:val="923"/>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2.2通过线上及线下手段，开展了多种形式基层协商。</w:t>
            </w:r>
          </w:p>
        </w:tc>
      </w:tr>
      <w:tr w:rsidR="00432C3F" w:rsidTr="000D5680">
        <w:trPr>
          <w:trHeight w:val="929"/>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3</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设计师、工程师进社区，辅导居民有效谋划人居环境建设和整治方案</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3.1建立了设计师、工程师、规划师等专业技术人员与社区联系的工作机制。</w:t>
            </w:r>
          </w:p>
        </w:tc>
      </w:tr>
      <w:tr w:rsidR="00432C3F" w:rsidTr="000D5680">
        <w:trPr>
          <w:trHeight w:val="1070"/>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3.2 开展了设计师、工程师、规划师等专业技术人员进社区辅导与谋划社区人居环境建设和整治方案的活动。</w:t>
            </w:r>
          </w:p>
        </w:tc>
      </w:tr>
      <w:tr w:rsidR="00432C3F" w:rsidTr="000D5680">
        <w:trPr>
          <w:trHeight w:val="645"/>
        </w:trPr>
        <w:tc>
          <w:tcPr>
            <w:tcW w:w="817"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推进社区基础设施绿色化</w:t>
            </w: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4</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社区各类基础设施比较完善</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4.1社区内供水、排水、供电、弱电、供气、消防等基础设施完好，运行安全、供给稳定。</w:t>
            </w:r>
          </w:p>
        </w:tc>
      </w:tr>
      <w:tr w:rsidR="00432C3F" w:rsidTr="000D5680">
        <w:trPr>
          <w:trHeight w:val="268"/>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4.2规范管线设置，有条件的社区进行管线下地，不具备下地条件的社区需保证架空管线规范、整齐、有序。</w:t>
            </w:r>
          </w:p>
        </w:tc>
      </w:tr>
      <w:tr w:rsidR="00432C3F" w:rsidTr="000D5680">
        <w:trPr>
          <w:trHeight w:val="268"/>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44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4.3社区内水域环境质量达标率100%。</w:t>
            </w:r>
          </w:p>
        </w:tc>
      </w:tr>
      <w:tr w:rsidR="00432C3F" w:rsidTr="000D5680">
        <w:trPr>
          <w:trHeight w:val="105"/>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5</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开展了社区道路综合治理、海绵化改造和建设，生活垃圾分类居民小区全覆盖</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5.1社区道路总体上整齐平整，基本消除路面坑洼破损等安全隐患，消防、救护等生命通道畅通。</w:t>
            </w:r>
          </w:p>
        </w:tc>
      </w:tr>
      <w:tr w:rsidR="00432C3F" w:rsidTr="000D5680">
        <w:trPr>
          <w:trHeight w:val="105"/>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5.2社区内垃圾转运站、垃圾收集点服务良好，垃圾日产日清无垃圾长期堆放和异味现象。</w:t>
            </w:r>
          </w:p>
        </w:tc>
      </w:tr>
      <w:tr w:rsidR="00432C3F" w:rsidTr="000D5680">
        <w:trPr>
          <w:trHeight w:val="105"/>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5.3生活垃圾分类设施服务半径合理，垃圾分类设施完善，标志正确、清晰。</w:t>
            </w:r>
          </w:p>
        </w:tc>
      </w:tr>
      <w:tr w:rsidR="00432C3F" w:rsidTr="000D5680">
        <w:trPr>
          <w:trHeight w:val="105"/>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5.4社区开展了生活垃圾分类回收相关的宣传和教育培训。</w:t>
            </w:r>
          </w:p>
        </w:tc>
      </w:tr>
      <w:tr w:rsidR="00432C3F" w:rsidTr="000D5680">
        <w:trPr>
          <w:trHeight w:val="105"/>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6</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在基础设施改造建设中落实经济适用、绿色环保的理念</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6.1在改造建设中使用了环保技术和节能材料，如采用节水龙头、节能控制设备、使用太阳能等清洁能源等。</w:t>
            </w:r>
          </w:p>
        </w:tc>
      </w:tr>
      <w:tr w:rsidR="00432C3F" w:rsidTr="000D5680">
        <w:trPr>
          <w:trHeight w:val="785"/>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6.2选用适宜方式对既有建筑进行节能改造，包括外窗及遮阳、屋面、外墙等。</w:t>
            </w:r>
          </w:p>
        </w:tc>
      </w:tr>
      <w:tr w:rsidR="00432C3F" w:rsidTr="000D5680">
        <w:trPr>
          <w:trHeight w:val="450"/>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6.3采取“渗滞蓄净用排”等举措推进海绵化改造和建设，避免和解决内涝积水问题。</w:t>
            </w:r>
          </w:p>
        </w:tc>
      </w:tr>
      <w:tr w:rsidR="00432C3F" w:rsidTr="000D5680">
        <w:trPr>
          <w:trHeight w:val="277"/>
        </w:trPr>
        <w:tc>
          <w:tcPr>
            <w:tcW w:w="817"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营造社区宜居环境</w:t>
            </w: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7</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社区绿地布局合理，有公共活动空间和设施</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7.1社区绿地布局合理，规模适宜。</w:t>
            </w:r>
          </w:p>
        </w:tc>
      </w:tr>
      <w:tr w:rsidR="00432C3F" w:rsidTr="000D5680">
        <w:trPr>
          <w:trHeight w:val="511"/>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sz w:val="24"/>
              </w:rPr>
            </w:pPr>
            <w:r>
              <w:rPr>
                <w:rFonts w:ascii="仿宋_GB2312" w:eastAsia="仿宋_GB2312" w:hAnsi="仿宋" w:cs="仿宋_GB2312" w:hint="eastAsia"/>
                <w:sz w:val="24"/>
              </w:rPr>
              <w:t>7.2社区内无侵占绿地、无损坏树木花草、无土地裸露等情况。</w:t>
            </w:r>
          </w:p>
        </w:tc>
      </w:tr>
      <w:tr w:rsidR="00432C3F" w:rsidTr="000D5680">
        <w:trPr>
          <w:trHeight w:val="511"/>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等线" w:eastAsia="仿宋_GB2312" w:hAnsi="等线" w:cs="仿宋_GB2312" w:hint="eastAsia"/>
                <w:sz w:val="24"/>
              </w:rPr>
            </w:pPr>
            <w:r>
              <w:rPr>
                <w:rFonts w:ascii="仿宋_GB2312" w:eastAsia="仿宋_GB2312" w:hAnsi="仿宋" w:cs="仿宋_GB2312" w:hint="eastAsia"/>
                <w:sz w:val="24"/>
              </w:rPr>
              <w:t>7.3社区内有一片以上的公共活动场地（含室外综合健身场地），建有适合老人、儿童活动的设施。</w:t>
            </w:r>
          </w:p>
        </w:tc>
      </w:tr>
      <w:tr w:rsidR="00432C3F" w:rsidTr="000D5680">
        <w:trPr>
          <w:trHeight w:val="511"/>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7.4</w:t>
            </w:r>
            <w:r>
              <w:rPr>
                <w:rFonts w:ascii="等线" w:eastAsia="仿宋_GB2312" w:hAnsi="等线" w:cs="仿宋_GB2312" w:hint="eastAsia"/>
                <w:sz w:val="24"/>
              </w:rPr>
              <w:t>采用了立体绿化</w:t>
            </w:r>
            <w:r>
              <w:rPr>
                <w:rFonts w:ascii="仿宋_GB2312" w:eastAsia="仿宋_GB2312" w:hAnsi="仿宋" w:cs="仿宋_GB2312" w:hint="eastAsia"/>
                <w:sz w:val="24"/>
              </w:rPr>
              <w:t>、雨水花园等方式丰富景观层次、增加环境绿量。</w:t>
            </w:r>
          </w:p>
        </w:tc>
      </w:tr>
      <w:tr w:rsidR="00432C3F" w:rsidTr="000D5680">
        <w:trPr>
          <w:trHeight w:val="508"/>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8</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社区停车秩序规范，无占压消防、救护等生命通道的情况</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8.1社区停车区域统一划线编号，停放有序。</w:t>
            </w:r>
          </w:p>
        </w:tc>
      </w:tr>
      <w:tr w:rsidR="00432C3F" w:rsidTr="000D5680">
        <w:trPr>
          <w:trHeight w:val="491"/>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8.2社区停车无占用消防、救护通道现象。</w:t>
            </w:r>
          </w:p>
        </w:tc>
      </w:tr>
      <w:tr w:rsidR="00432C3F" w:rsidTr="000D5680">
        <w:trPr>
          <w:trHeight w:val="491"/>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8.</w:t>
            </w:r>
            <w:r>
              <w:rPr>
                <w:rFonts w:ascii="仿宋_GB2312" w:eastAsia="仿宋_GB2312" w:hAnsi="仿宋" w:cs="仿宋_GB2312"/>
                <w:sz w:val="24"/>
              </w:rPr>
              <w:t>3</w:t>
            </w:r>
            <w:r>
              <w:rPr>
                <w:rFonts w:ascii="仿宋_GB2312" w:eastAsia="仿宋_GB2312" w:hAnsi="仿宋" w:cs="仿宋_GB2312" w:hint="eastAsia"/>
                <w:sz w:val="24"/>
              </w:rPr>
              <w:t>社区建设非机动车停车棚、停放架等设施。具备条件的居住社区，建设电动车集中停放和充电场所，并做好消防安全管理。</w:t>
            </w:r>
          </w:p>
        </w:tc>
      </w:tr>
      <w:tr w:rsidR="00432C3F" w:rsidTr="000D5680">
        <w:trPr>
          <w:trHeight w:hRule="exact" w:val="966"/>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9</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公共空间</w:t>
            </w:r>
            <w:proofErr w:type="gramStart"/>
            <w:r>
              <w:rPr>
                <w:rFonts w:ascii="仿宋_GB2312" w:eastAsia="仿宋_GB2312" w:hAnsi="仿宋" w:cs="仿宋_GB2312" w:hint="eastAsia"/>
                <w:sz w:val="24"/>
              </w:rPr>
              <w:t>开展了适老化</w:t>
            </w:r>
            <w:proofErr w:type="gramEnd"/>
            <w:r>
              <w:rPr>
                <w:rFonts w:ascii="仿宋_GB2312" w:eastAsia="仿宋_GB2312" w:hAnsi="仿宋" w:cs="仿宋_GB2312" w:hint="eastAsia"/>
                <w:sz w:val="24"/>
              </w:rPr>
              <w:t>改造和无障碍设施建设</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9.1社区公共活动场地、道路等户外环境建设总体符合无障碍设计要求。</w:t>
            </w:r>
          </w:p>
        </w:tc>
      </w:tr>
      <w:tr w:rsidR="00432C3F" w:rsidTr="000D5680">
        <w:trPr>
          <w:trHeight w:val="635"/>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9.2社区公共空间开展了地面防滑、扶手</w:t>
            </w:r>
            <w:proofErr w:type="gramStart"/>
            <w:r>
              <w:rPr>
                <w:rFonts w:ascii="仿宋_GB2312" w:eastAsia="仿宋_GB2312" w:hAnsi="仿宋" w:cs="仿宋_GB2312" w:hint="eastAsia"/>
                <w:sz w:val="24"/>
              </w:rPr>
              <w:t>及抓杆等</w:t>
            </w:r>
            <w:proofErr w:type="gramEnd"/>
            <w:r>
              <w:rPr>
                <w:rFonts w:ascii="仿宋_GB2312" w:eastAsia="仿宋_GB2312" w:hAnsi="仿宋" w:cs="仿宋_GB2312" w:hint="eastAsia"/>
                <w:sz w:val="24"/>
              </w:rPr>
              <w:t>适老化设施建设。</w:t>
            </w:r>
          </w:p>
        </w:tc>
      </w:tr>
      <w:tr w:rsidR="00432C3F" w:rsidTr="000D5680">
        <w:trPr>
          <w:trHeight w:val="105"/>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10</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对噪声扰民等问题进行了有效治理</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10.1社区出台对噪音扰民行为的管理准则。</w:t>
            </w:r>
          </w:p>
        </w:tc>
      </w:tr>
      <w:tr w:rsidR="00432C3F" w:rsidTr="000D5680">
        <w:trPr>
          <w:trHeight w:val="914"/>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10.2区域内噪声扰民投诉得到及时解决,没有长期投诉的污染源。</w:t>
            </w:r>
          </w:p>
        </w:tc>
      </w:tr>
      <w:tr w:rsidR="00432C3F" w:rsidTr="000D5680">
        <w:trPr>
          <w:trHeight w:val="619"/>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10.3</w:t>
            </w:r>
            <w:proofErr w:type="gramStart"/>
            <w:r>
              <w:rPr>
                <w:rFonts w:ascii="仿宋_GB2312" w:eastAsia="仿宋_GB2312" w:hAnsi="仿宋" w:cs="仿宋_GB2312" w:hint="eastAsia"/>
                <w:sz w:val="24"/>
              </w:rPr>
              <w:t>社区声</w:t>
            </w:r>
            <w:proofErr w:type="gramEnd"/>
            <w:r>
              <w:rPr>
                <w:rFonts w:ascii="仿宋_GB2312" w:eastAsia="仿宋_GB2312" w:hAnsi="仿宋" w:cs="仿宋_GB2312" w:hint="eastAsia"/>
                <w:sz w:val="24"/>
              </w:rPr>
              <w:t>环境质量达标率100%。</w:t>
            </w:r>
          </w:p>
        </w:tc>
      </w:tr>
      <w:tr w:rsidR="00432C3F" w:rsidTr="000D5680">
        <w:trPr>
          <w:trHeight w:val="105"/>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sz w:val="24"/>
              </w:rPr>
            </w:pPr>
            <w:r>
              <w:rPr>
                <w:rFonts w:ascii="仿宋" w:eastAsia="仿宋" w:hAnsi="仿宋" w:cs="仿宋_GB2312" w:hint="eastAsia"/>
                <w:sz w:val="24"/>
              </w:rPr>
              <w:t>11</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加快补齐在卫生防疫、社区服务等方面的短板</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11.1建立了紧急时刻社区封闭管理的工作方案。</w:t>
            </w:r>
          </w:p>
        </w:tc>
      </w:tr>
      <w:tr w:rsidR="00432C3F" w:rsidTr="000D5680">
        <w:trPr>
          <w:trHeight w:val="105"/>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sz w:val="24"/>
              </w:rPr>
            </w:pPr>
            <w:r>
              <w:rPr>
                <w:rFonts w:ascii="仿宋_GB2312" w:eastAsia="仿宋_GB2312" w:hAnsi="仿宋" w:cs="仿宋_GB2312" w:hint="eastAsia"/>
                <w:sz w:val="24"/>
              </w:rPr>
              <w:t>11.2社区供水、供电、燃气、垃圾清运、消防救急等具有能够承担应急保障的能力。</w:t>
            </w:r>
          </w:p>
        </w:tc>
      </w:tr>
      <w:tr w:rsidR="00432C3F" w:rsidTr="000D5680">
        <w:trPr>
          <w:trHeight w:val="554"/>
        </w:trPr>
        <w:tc>
          <w:tcPr>
            <w:tcW w:w="817"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lastRenderedPageBreak/>
              <w:t>提高社区信息化智能化水平</w:t>
            </w: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12</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建设了智能化安防系统</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12.1社区有安防设施、监控设施和照明设施并正常运作，保障小区安全管理的需求。</w:t>
            </w:r>
          </w:p>
        </w:tc>
      </w:tr>
      <w:tr w:rsidR="00432C3F" w:rsidTr="000D5680">
        <w:trPr>
          <w:trHeight w:val="554"/>
        </w:trPr>
        <w:tc>
          <w:tcPr>
            <w:tcW w:w="817" w:type="dxa"/>
            <w:vMerge/>
            <w:shd w:val="clear" w:color="auto" w:fill="FFFFFF"/>
            <w:vAlign w:val="center"/>
          </w:tcPr>
          <w:p w:rsidR="00432C3F" w:rsidRDefault="00432C3F" w:rsidP="000D5680">
            <w:pPr>
              <w:spacing w:line="320" w:lineRule="exact"/>
              <w:rPr>
                <w:rFonts w:ascii="仿宋" w:eastAsia="仿宋" w:hAnsi="仿宋" w:cs="楷体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12.2整合社区安保、车辆、公共设施管理、生活垃圾排放登记等数据信息，搭建社区公共服务综合信息平台。</w:t>
            </w:r>
          </w:p>
        </w:tc>
      </w:tr>
      <w:tr w:rsidR="00432C3F" w:rsidTr="000D5680">
        <w:trPr>
          <w:trHeight w:val="105"/>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13</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物业管理覆盖面不低于30%</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13.1享有有效物业管理服务的户数或者建筑面积占比超过社区总量的30%。</w:t>
            </w:r>
          </w:p>
        </w:tc>
      </w:tr>
      <w:tr w:rsidR="00432C3F" w:rsidTr="000D5680">
        <w:trPr>
          <w:trHeight w:val="105"/>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hint="eastAsia"/>
                <w:sz w:val="24"/>
              </w:rPr>
              <w:t>13.2在门禁管理、停车管理、公共活动区域监测等领域采取了智能化手段。</w:t>
            </w:r>
          </w:p>
        </w:tc>
      </w:tr>
      <w:tr w:rsidR="00432C3F" w:rsidTr="000D5680">
        <w:trPr>
          <w:trHeight w:val="1075"/>
        </w:trPr>
        <w:tc>
          <w:tcPr>
            <w:tcW w:w="817"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培育社区绿色文化</w:t>
            </w:r>
          </w:p>
        </w:tc>
        <w:tc>
          <w:tcPr>
            <w:tcW w:w="567" w:type="dxa"/>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14</w:t>
            </w:r>
          </w:p>
        </w:tc>
        <w:tc>
          <w:tcPr>
            <w:tcW w:w="1985" w:type="dxa"/>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社区有固定宣传场所和设施，能定期发布创建信息</w:t>
            </w:r>
          </w:p>
        </w:tc>
        <w:tc>
          <w:tcPr>
            <w:tcW w:w="5528" w:type="dxa"/>
            <w:shd w:val="clear" w:color="auto" w:fill="FFFFFF"/>
            <w:vAlign w:val="center"/>
          </w:tcPr>
          <w:p w:rsidR="00432C3F" w:rsidRDefault="00432C3F" w:rsidP="000D5680">
            <w:pPr>
              <w:spacing w:line="400" w:lineRule="exact"/>
              <w:rPr>
                <w:rFonts w:ascii="仿宋_GB2312" w:eastAsia="仿宋_GB2312" w:hAnsi="宋体" w:cs="仿宋_GB2312" w:hint="eastAsia"/>
                <w:sz w:val="24"/>
              </w:rPr>
            </w:pPr>
            <w:r>
              <w:rPr>
                <w:rFonts w:ascii="仿宋_GB2312" w:eastAsia="仿宋_GB2312" w:hAnsi="宋体" w:cs="仿宋_GB2312"/>
                <w:sz w:val="24"/>
              </w:rPr>
              <w:t>1</w:t>
            </w:r>
            <w:r>
              <w:rPr>
                <w:rFonts w:ascii="仿宋_GB2312" w:eastAsia="仿宋_GB2312" w:hAnsi="宋体" w:cs="仿宋_GB2312" w:hint="eastAsia"/>
                <w:sz w:val="24"/>
              </w:rPr>
              <w:t>4</w:t>
            </w:r>
            <w:r>
              <w:rPr>
                <w:rFonts w:ascii="仿宋_GB2312" w:eastAsia="仿宋_GB2312" w:hAnsi="宋体" w:cs="仿宋_GB2312"/>
                <w:sz w:val="24"/>
              </w:rPr>
              <w:t>.1</w:t>
            </w:r>
            <w:r>
              <w:rPr>
                <w:rFonts w:ascii="仿宋_GB2312" w:eastAsia="仿宋_GB2312" w:hAnsi="宋体" w:cs="仿宋_GB2312" w:hint="eastAsia"/>
                <w:sz w:val="24"/>
              </w:rPr>
              <w:t>社区内建有宣传栏和文化墙等设施，能定期发布创建信息并动态更新。</w:t>
            </w:r>
          </w:p>
        </w:tc>
      </w:tr>
      <w:tr w:rsidR="00432C3F" w:rsidTr="000D5680">
        <w:trPr>
          <w:trHeight w:val="582"/>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15</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对社区工作者、物业服务从业者等相关人员定期开展培训</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sz w:val="24"/>
              </w:rPr>
            </w:pPr>
            <w:r>
              <w:rPr>
                <w:rFonts w:ascii="仿宋_GB2312" w:eastAsia="仿宋_GB2312" w:hAnsi="仿宋" w:cs="仿宋_GB2312" w:hint="eastAsia"/>
                <w:sz w:val="24"/>
              </w:rPr>
              <w:t>15.1有从事绿色社区创建的工作队伍</w:t>
            </w:r>
            <w:r>
              <w:rPr>
                <w:rFonts w:ascii="仿宋_GB2312" w:eastAsia="仿宋_GB2312" w:hAnsi="宋体" w:cs="仿宋_GB2312" w:hint="eastAsia"/>
                <w:sz w:val="24"/>
              </w:rPr>
              <w:t>。</w:t>
            </w:r>
          </w:p>
        </w:tc>
      </w:tr>
      <w:tr w:rsidR="00432C3F" w:rsidTr="000D5680">
        <w:trPr>
          <w:trHeight w:val="582"/>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sz w:val="24"/>
              </w:rPr>
              <w:t>1</w:t>
            </w:r>
            <w:r>
              <w:rPr>
                <w:rFonts w:ascii="仿宋_GB2312" w:eastAsia="仿宋_GB2312" w:hAnsi="仿宋" w:cs="仿宋_GB2312" w:hint="eastAsia"/>
                <w:sz w:val="24"/>
              </w:rPr>
              <w:t>5</w:t>
            </w:r>
            <w:r>
              <w:rPr>
                <w:rFonts w:ascii="仿宋_GB2312" w:eastAsia="仿宋_GB2312" w:hAnsi="仿宋" w:cs="仿宋_GB2312"/>
                <w:sz w:val="24"/>
              </w:rPr>
              <w:t>.</w:t>
            </w:r>
            <w:r>
              <w:rPr>
                <w:rFonts w:ascii="仿宋_GB2312" w:eastAsia="仿宋_GB2312" w:hAnsi="仿宋" w:cs="仿宋_GB2312" w:hint="eastAsia"/>
                <w:sz w:val="24"/>
              </w:rPr>
              <w:t>2</w:t>
            </w:r>
            <w:r>
              <w:rPr>
                <w:rFonts w:ascii="仿宋_GB2312" w:eastAsia="仿宋_GB2312" w:hAnsi="仿宋" w:cs="仿宋_GB2312"/>
                <w:sz w:val="24"/>
              </w:rPr>
              <w:t>组织</w:t>
            </w:r>
            <w:r>
              <w:rPr>
                <w:rFonts w:ascii="仿宋_GB2312" w:eastAsia="仿宋_GB2312" w:hAnsi="仿宋" w:cs="仿宋_GB2312" w:hint="eastAsia"/>
                <w:sz w:val="24"/>
              </w:rPr>
              <w:t>开展了绿色社区相关的课堂培训、实地考察、经验交流等活动。</w:t>
            </w:r>
          </w:p>
        </w:tc>
      </w:tr>
      <w:tr w:rsidR="00432C3F" w:rsidTr="000D5680">
        <w:trPr>
          <w:trHeight w:val="105"/>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sz w:val="24"/>
              </w:rPr>
              <w:t>1</w:t>
            </w:r>
            <w:r>
              <w:rPr>
                <w:rFonts w:ascii="仿宋_GB2312" w:eastAsia="仿宋_GB2312" w:hAnsi="仿宋" w:cs="仿宋_GB2312" w:hint="eastAsia"/>
                <w:sz w:val="24"/>
              </w:rPr>
              <w:t>5</w:t>
            </w:r>
            <w:r>
              <w:rPr>
                <w:rFonts w:ascii="仿宋_GB2312" w:eastAsia="仿宋_GB2312" w:hAnsi="仿宋" w:cs="仿宋_GB2312"/>
                <w:sz w:val="24"/>
              </w:rPr>
              <w:t>.</w:t>
            </w:r>
            <w:r>
              <w:rPr>
                <w:rFonts w:ascii="仿宋_GB2312" w:eastAsia="仿宋_GB2312" w:hAnsi="仿宋" w:cs="仿宋_GB2312" w:hint="eastAsia"/>
                <w:sz w:val="24"/>
              </w:rPr>
              <w:t>3组织</w:t>
            </w:r>
            <w:r>
              <w:rPr>
                <w:rFonts w:ascii="仿宋_GB2312" w:eastAsia="仿宋_GB2312" w:hAnsi="仿宋" w:cs="仿宋_GB2312"/>
                <w:sz w:val="24"/>
              </w:rPr>
              <w:t>开展</w:t>
            </w:r>
            <w:r>
              <w:rPr>
                <w:rFonts w:ascii="仿宋_GB2312" w:eastAsia="仿宋_GB2312" w:hAnsi="仿宋" w:cs="仿宋_GB2312" w:hint="eastAsia"/>
                <w:sz w:val="24"/>
              </w:rPr>
              <w:t>了“小手拉大手”生态环保知识普及和绿色生活主题宣传教活动。</w:t>
            </w:r>
          </w:p>
        </w:tc>
      </w:tr>
      <w:tr w:rsidR="00432C3F" w:rsidTr="000D5680">
        <w:trPr>
          <w:trHeight w:val="105"/>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16</w:t>
            </w:r>
          </w:p>
        </w:tc>
        <w:tc>
          <w:tcPr>
            <w:tcW w:w="1985" w:type="dxa"/>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发布了社区居民绿色生活行为公约</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sz w:val="24"/>
              </w:rPr>
              <w:t>1</w:t>
            </w:r>
            <w:r>
              <w:rPr>
                <w:rFonts w:ascii="仿宋_GB2312" w:eastAsia="仿宋_GB2312" w:hAnsi="仿宋" w:cs="仿宋_GB2312" w:hint="eastAsia"/>
                <w:sz w:val="24"/>
              </w:rPr>
              <w:t>6</w:t>
            </w:r>
            <w:r>
              <w:rPr>
                <w:rFonts w:ascii="仿宋_GB2312" w:eastAsia="仿宋_GB2312" w:hAnsi="仿宋" w:cs="仿宋_GB2312"/>
                <w:sz w:val="24"/>
              </w:rPr>
              <w:t>.1</w:t>
            </w:r>
            <w:r>
              <w:rPr>
                <w:rFonts w:ascii="仿宋_GB2312" w:eastAsia="仿宋_GB2312" w:hAnsi="仿宋" w:cs="仿宋_GB2312" w:hint="eastAsia"/>
                <w:sz w:val="24"/>
              </w:rPr>
              <w:t>在社区居民共同参与制定的社区居民公约中包括了绿色生活和行为的有关内容。</w:t>
            </w:r>
          </w:p>
        </w:tc>
      </w:tr>
      <w:tr w:rsidR="00432C3F" w:rsidTr="000D5680">
        <w:trPr>
          <w:trHeight w:val="376"/>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val="restart"/>
            <w:shd w:val="clear" w:color="auto" w:fill="FFFFFF"/>
            <w:vAlign w:val="center"/>
          </w:tcPr>
          <w:p w:rsidR="00432C3F" w:rsidRDefault="00432C3F" w:rsidP="000D5680">
            <w:pPr>
              <w:spacing w:line="320" w:lineRule="exact"/>
              <w:rPr>
                <w:rFonts w:ascii="仿宋" w:eastAsia="仿宋" w:hAnsi="仿宋" w:cs="仿宋_GB2312" w:hint="eastAsia"/>
                <w:sz w:val="24"/>
              </w:rPr>
            </w:pPr>
            <w:r>
              <w:rPr>
                <w:rFonts w:ascii="仿宋" w:eastAsia="仿宋" w:hAnsi="仿宋" w:cs="仿宋_GB2312" w:hint="eastAsia"/>
                <w:sz w:val="24"/>
              </w:rPr>
              <w:t>17</w:t>
            </w:r>
          </w:p>
        </w:tc>
        <w:tc>
          <w:tcPr>
            <w:tcW w:w="1985" w:type="dxa"/>
            <w:vMerge w:val="restart"/>
            <w:shd w:val="clear" w:color="auto" w:fill="FFFFFF"/>
            <w:vAlign w:val="center"/>
          </w:tcPr>
          <w:p w:rsidR="00432C3F" w:rsidRDefault="00432C3F" w:rsidP="000D5680">
            <w:pPr>
              <w:spacing w:line="320" w:lineRule="exact"/>
              <w:rPr>
                <w:rFonts w:ascii="仿宋_GB2312" w:eastAsia="仿宋_GB2312" w:hAnsi="仿宋" w:cs="仿宋_GB2312" w:hint="eastAsia"/>
                <w:sz w:val="24"/>
              </w:rPr>
            </w:pPr>
            <w:r>
              <w:rPr>
                <w:rFonts w:ascii="仿宋_GB2312" w:eastAsia="仿宋_GB2312" w:hAnsi="仿宋" w:cs="仿宋_GB2312" w:hint="eastAsia"/>
                <w:sz w:val="24"/>
              </w:rPr>
              <w:t>社区相关文物古迹、历史建筑、古树名木等历史文化资源得到有效保护</w:t>
            </w: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sz w:val="24"/>
              </w:rPr>
              <w:t>1</w:t>
            </w:r>
            <w:r>
              <w:rPr>
                <w:rFonts w:ascii="仿宋_GB2312" w:eastAsia="仿宋_GB2312" w:hAnsi="仿宋" w:cs="仿宋_GB2312" w:hint="eastAsia"/>
                <w:sz w:val="24"/>
              </w:rPr>
              <w:t>7</w:t>
            </w:r>
            <w:r>
              <w:rPr>
                <w:rFonts w:ascii="仿宋_GB2312" w:eastAsia="仿宋_GB2312" w:hAnsi="仿宋" w:cs="仿宋_GB2312"/>
                <w:sz w:val="24"/>
              </w:rPr>
              <w:t>.1</w:t>
            </w:r>
            <w:r>
              <w:rPr>
                <w:rFonts w:ascii="仿宋_GB2312" w:eastAsia="仿宋_GB2312" w:hAnsi="仿宋" w:cs="仿宋_GB2312" w:hint="eastAsia"/>
                <w:sz w:val="24"/>
              </w:rPr>
              <w:t>设有历史文化资源保护名录，将社区内历史文物古迹、历史建筑、古树名木等记录在册。</w:t>
            </w:r>
          </w:p>
        </w:tc>
      </w:tr>
      <w:tr w:rsidR="00432C3F" w:rsidTr="000D5680">
        <w:trPr>
          <w:trHeight w:val="537"/>
        </w:trPr>
        <w:tc>
          <w:tcPr>
            <w:tcW w:w="817" w:type="dxa"/>
            <w:vMerge/>
            <w:shd w:val="clear" w:color="auto" w:fill="FFFFFF"/>
            <w:vAlign w:val="center"/>
          </w:tcPr>
          <w:p w:rsidR="00432C3F" w:rsidRDefault="00432C3F" w:rsidP="000D5680">
            <w:pPr>
              <w:spacing w:line="320" w:lineRule="exact"/>
              <w:rPr>
                <w:rFonts w:ascii="仿宋" w:eastAsia="仿宋" w:hAnsi="仿宋" w:cs="仿宋_GB2312" w:hint="eastAsia"/>
                <w:sz w:val="30"/>
                <w:szCs w:val="30"/>
              </w:rPr>
            </w:pPr>
          </w:p>
        </w:tc>
        <w:tc>
          <w:tcPr>
            <w:tcW w:w="567" w:type="dxa"/>
            <w:vMerge/>
            <w:shd w:val="clear" w:color="auto" w:fill="FFFFFF"/>
            <w:vAlign w:val="center"/>
          </w:tcPr>
          <w:p w:rsidR="00432C3F" w:rsidRDefault="00432C3F" w:rsidP="000D5680">
            <w:pPr>
              <w:spacing w:line="320" w:lineRule="exact"/>
              <w:rPr>
                <w:rFonts w:ascii="仿宋" w:eastAsia="仿宋" w:hAnsi="仿宋" w:cs="仿宋_GB2312" w:hint="eastAsia"/>
                <w:sz w:val="24"/>
              </w:rPr>
            </w:pPr>
          </w:p>
        </w:tc>
        <w:tc>
          <w:tcPr>
            <w:tcW w:w="1985" w:type="dxa"/>
            <w:vMerge/>
            <w:shd w:val="clear" w:color="auto" w:fill="FFFFFF"/>
            <w:vAlign w:val="center"/>
          </w:tcPr>
          <w:p w:rsidR="00432C3F" w:rsidRDefault="00432C3F" w:rsidP="000D5680">
            <w:pPr>
              <w:spacing w:line="320" w:lineRule="exact"/>
              <w:rPr>
                <w:rFonts w:ascii="仿宋_GB2312" w:eastAsia="仿宋_GB2312" w:hAnsi="仿宋" w:cs="仿宋_GB2312" w:hint="eastAsia"/>
                <w:sz w:val="24"/>
              </w:rPr>
            </w:pPr>
          </w:p>
        </w:tc>
        <w:tc>
          <w:tcPr>
            <w:tcW w:w="5528" w:type="dxa"/>
            <w:shd w:val="clear" w:color="auto" w:fill="FFFFFF"/>
            <w:vAlign w:val="center"/>
          </w:tcPr>
          <w:p w:rsidR="00432C3F" w:rsidRDefault="00432C3F" w:rsidP="000D5680">
            <w:pPr>
              <w:spacing w:line="400" w:lineRule="exact"/>
              <w:rPr>
                <w:rFonts w:ascii="仿宋_GB2312" w:eastAsia="仿宋_GB2312" w:hAnsi="仿宋" w:cs="仿宋_GB2312" w:hint="eastAsia"/>
                <w:sz w:val="24"/>
              </w:rPr>
            </w:pPr>
            <w:r>
              <w:rPr>
                <w:rFonts w:ascii="仿宋_GB2312" w:eastAsia="仿宋_GB2312" w:hAnsi="仿宋" w:cs="仿宋_GB2312"/>
                <w:sz w:val="24"/>
              </w:rPr>
              <w:t>1</w:t>
            </w:r>
            <w:r>
              <w:rPr>
                <w:rFonts w:ascii="仿宋_GB2312" w:eastAsia="仿宋_GB2312" w:hAnsi="仿宋" w:cs="仿宋_GB2312" w:hint="eastAsia"/>
                <w:sz w:val="24"/>
              </w:rPr>
              <w:t>7</w:t>
            </w:r>
            <w:r>
              <w:rPr>
                <w:rFonts w:ascii="仿宋_GB2312" w:eastAsia="仿宋_GB2312" w:hAnsi="仿宋" w:cs="仿宋_GB2312"/>
                <w:sz w:val="24"/>
              </w:rPr>
              <w:t>.2</w:t>
            </w:r>
            <w:r>
              <w:rPr>
                <w:rFonts w:ascii="仿宋_GB2312" w:eastAsia="仿宋_GB2312" w:hAnsi="仿宋" w:cs="仿宋_GB2312" w:hint="eastAsia"/>
                <w:sz w:val="24"/>
              </w:rPr>
              <w:t>有效保护和管理社区相关文物古迹、历史建筑、古树名木等历史文化资源，且有详细保护管理记录。</w:t>
            </w:r>
          </w:p>
        </w:tc>
      </w:tr>
    </w:tbl>
    <w:p w:rsidR="00432C3F" w:rsidRDefault="00432C3F" w:rsidP="00432C3F">
      <w:pPr>
        <w:pStyle w:val="2"/>
        <w:ind w:leftChars="0" w:left="0"/>
        <w:rPr>
          <w:rFonts w:ascii="黑体" w:eastAsia="黑体" w:hAnsi="黑体" w:cs="黑体"/>
          <w:sz w:val="32"/>
          <w:szCs w:val="32"/>
          <w:shd w:val="clear" w:color="auto" w:fill="FFFFFF"/>
        </w:rPr>
      </w:pPr>
    </w:p>
    <w:p w:rsidR="00432C3F" w:rsidRDefault="00432C3F" w:rsidP="00432C3F">
      <w:pPr>
        <w:pStyle w:val="2"/>
        <w:ind w:leftChars="0" w:left="0"/>
        <w:rPr>
          <w:rFonts w:ascii="黑体" w:eastAsia="黑体" w:hAnsi="黑体" w:cs="黑体"/>
          <w:sz w:val="32"/>
          <w:szCs w:val="32"/>
          <w:shd w:val="clear" w:color="auto" w:fill="FFFFFF"/>
        </w:rPr>
      </w:pPr>
    </w:p>
    <w:p w:rsidR="00432C3F" w:rsidRDefault="00432C3F" w:rsidP="00432C3F">
      <w:pPr>
        <w:pStyle w:val="2"/>
        <w:ind w:leftChars="0" w:left="0"/>
        <w:rPr>
          <w:rFonts w:ascii="黑体" w:eastAsia="黑体" w:hAnsi="黑体" w:cs="黑体"/>
          <w:sz w:val="32"/>
          <w:szCs w:val="32"/>
          <w:shd w:val="clear" w:color="auto" w:fill="FFFFFF"/>
        </w:rPr>
      </w:pPr>
    </w:p>
    <w:p w:rsidR="00432C3F" w:rsidRDefault="00432C3F" w:rsidP="00432C3F">
      <w:pPr>
        <w:pStyle w:val="2"/>
        <w:ind w:leftChars="0" w:left="0"/>
        <w:rPr>
          <w:rFonts w:ascii="黑体" w:eastAsia="黑体" w:hAnsi="黑体" w:cs="黑体"/>
          <w:sz w:val="32"/>
          <w:szCs w:val="32"/>
          <w:shd w:val="clear" w:color="auto" w:fill="FFFFFF"/>
        </w:rPr>
      </w:pPr>
    </w:p>
    <w:p w:rsidR="00432C3F" w:rsidRPr="00432C3F" w:rsidRDefault="00432C3F"/>
    <w:sectPr w:rsidR="00432C3F" w:rsidRPr="00432C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3F"/>
    <w:rsid w:val="0043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78CAF-2A5A-499D-B862-9DBFA061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32C3F"/>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
    <w:link w:val="20"/>
    <w:qFormat/>
    <w:rsid w:val="00432C3F"/>
    <w:pPr>
      <w:spacing w:after="120" w:line="480" w:lineRule="auto"/>
      <w:ind w:leftChars="200" w:left="420"/>
    </w:pPr>
  </w:style>
  <w:style w:type="character" w:customStyle="1" w:styleId="20">
    <w:name w:val="正文文本缩进 2 字符"/>
    <w:basedOn w:val="a1"/>
    <w:link w:val="2"/>
    <w:rsid w:val="00432C3F"/>
    <w:rPr>
      <w:rFonts w:ascii="Calibri" w:eastAsia="宋体" w:hAnsi="Calibri" w:cs="Times New Roman"/>
      <w:szCs w:val="24"/>
    </w:rPr>
  </w:style>
  <w:style w:type="paragraph" w:styleId="a0">
    <w:name w:val="Plain Text"/>
    <w:basedOn w:val="a"/>
    <w:link w:val="a4"/>
    <w:uiPriority w:val="99"/>
    <w:semiHidden/>
    <w:unhideWhenUsed/>
    <w:rsid w:val="00432C3F"/>
    <w:rPr>
      <w:rFonts w:asciiTheme="minorEastAsia" w:eastAsiaTheme="minorEastAsia" w:hAnsi="Courier New" w:cs="Courier New"/>
    </w:rPr>
  </w:style>
  <w:style w:type="character" w:customStyle="1" w:styleId="a4">
    <w:name w:val="纯文本 字符"/>
    <w:basedOn w:val="a1"/>
    <w:link w:val="a0"/>
    <w:uiPriority w:val="99"/>
    <w:semiHidden/>
    <w:rsid w:val="00432C3F"/>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2021-06-01T03:35:00Z</dcterms:created>
  <dcterms:modified xsi:type="dcterms:W3CDTF">2021-06-01T03:35:00Z</dcterms:modified>
</cp:coreProperties>
</file>