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snapToGrid w:val="0"/>
        <w:spacing w:line="600" w:lineRule="exact"/>
        <w:ind w:left="0" w:left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w:t>
      </w:r>
      <w:r>
        <w:rPr>
          <w:rFonts w:hint="eastAsia" w:ascii="仿宋_GB2312" w:hAnsi="仿宋_GB2312" w:eastAsia="仿宋_GB2312" w:cs="仿宋_GB2312"/>
          <w:b w:val="0"/>
          <w:bCs/>
          <w:sz w:val="32"/>
          <w:szCs w:val="32"/>
          <w:lang w:val="en-US" w:eastAsia="zh-CN"/>
        </w:rPr>
        <w:t>22</w:t>
      </w:r>
    </w:p>
    <w:p>
      <w:pPr>
        <w:widowControl w:val="0"/>
        <w:wordWrap/>
        <w:autoSpaceDE w:val="0"/>
        <w:autoSpaceDN w:val="0"/>
        <w:adjustRightInd w:val="0"/>
        <w:spacing w:line="600" w:lineRule="exact"/>
        <w:ind w:left="0" w:leftChars="0" w:right="28"/>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2022年</w:t>
      </w:r>
      <w:r>
        <w:rPr>
          <w:rFonts w:hint="eastAsia" w:ascii="方正小标宋简体" w:hAnsi="方正小标宋简体" w:eastAsia="方正小标宋简体" w:cs="方正小标宋简体"/>
          <w:b w:val="0"/>
          <w:bCs/>
          <w:sz w:val="44"/>
          <w:szCs w:val="44"/>
        </w:rPr>
        <w:t>清远市生物质燃料产品质量监督</w:t>
      </w:r>
    </w:p>
    <w:p>
      <w:pPr>
        <w:widowControl w:val="0"/>
        <w:wordWrap/>
        <w:autoSpaceDE w:val="0"/>
        <w:autoSpaceDN w:val="0"/>
        <w:adjustRightInd w:val="0"/>
        <w:spacing w:line="600" w:lineRule="exact"/>
        <w:ind w:left="0" w:leftChars="0" w:right="28"/>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抽查实施细则</w:t>
      </w:r>
    </w:p>
    <w:p>
      <w:pPr>
        <w:pStyle w:val="2"/>
        <w:rPr>
          <w:rFonts w:hint="eastAsia"/>
        </w:rPr>
      </w:pPr>
    </w:p>
    <w:p>
      <w:pPr>
        <w:widowControl w:val="0"/>
        <w:wordWrap/>
        <w:spacing w:line="600" w:lineRule="exact"/>
        <w:ind w:left="0" w:left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一 </w:t>
      </w:r>
      <w:r>
        <w:rPr>
          <w:rFonts w:hint="eastAsia" w:ascii="黑体" w:hAnsi="黑体" w:eastAsia="黑体" w:cs="黑体"/>
          <w:b w:val="0"/>
          <w:bCs w:val="0"/>
          <w:sz w:val="32"/>
          <w:szCs w:val="32"/>
        </w:rPr>
        <w:t>抽样方法</w:t>
      </w:r>
    </w:p>
    <w:p>
      <w:pPr>
        <w:widowControl w:val="0"/>
        <w:wordWrap/>
        <w:adjustRightInd w:val="0"/>
        <w:snapToGrid w:val="0"/>
        <w:spacing w:line="600" w:lineRule="exact"/>
        <w:ind w:left="0" w:leftChars="0" w:firstLine="42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在企业的待销产品中随机抽取有产品质量检验合格证明或者以其他形式表明合格的、近期生产的产品。</w:t>
      </w:r>
    </w:p>
    <w:p>
      <w:pPr>
        <w:widowControl w:val="0"/>
        <w:wordWrap/>
        <w:snapToGrid w:val="0"/>
        <w:spacing w:line="600" w:lineRule="exact"/>
        <w:ind w:left="0" w:leftChars="0" w:firstLine="4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按照NY/T 1879-2010《生物质固体成型燃料采样方法》执行。封样时，应有防拆封措施，以保证样品的真实性。如样品具有特殊储存要求的，被抽查企业应告知，抽样人员应按要求进行储存处置。</w:t>
      </w:r>
    </w:p>
    <w:p>
      <w:pPr>
        <w:widowControl w:val="0"/>
        <w:wordWrap/>
        <w:spacing w:line="600" w:lineRule="exact"/>
        <w:ind w:left="0" w:leftChars="0" w:firstLine="4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抽样数量：独立包装的生物质燃料产品，以最小独立包装抽取，同一批次生物质燃料抽取2组，每组样品应不少于5kg，1组作为检验样品，1组作为备用样品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单个独立包装质量较大的情况，也可采取散料生物质燃料的抽取方法。散料形式生物质燃料产品所抽取样品量应不少于5kg/袋，同一批次生物质燃料抽取1袋作为检验样品，1袋作为备用样品</w:t>
      </w:r>
      <w:r>
        <w:rPr>
          <w:rFonts w:hint="eastAsia" w:ascii="仿宋_GB2312" w:hAnsi="仿宋_GB2312" w:eastAsia="仿宋_GB2312" w:cs="仿宋_GB2312"/>
          <w:sz w:val="32"/>
          <w:szCs w:val="32"/>
          <w:lang w:eastAsia="zh-CN"/>
        </w:rPr>
        <w:t>。</w:t>
      </w:r>
    </w:p>
    <w:p>
      <w:pPr>
        <w:widowControl w:val="0"/>
        <w:wordWrap/>
        <w:snapToGrid w:val="0"/>
        <w:spacing w:line="600" w:lineRule="exact"/>
        <w:ind w:left="0" w:leftChars="0" w:firstLine="420" w:firstLineChars="200"/>
        <w:textAlignment w:val="auto"/>
        <w:rPr>
          <w:rFonts w:hint="eastAsia" w:ascii="仿宋_GB2312" w:hAnsi="仿宋_GB2312" w:eastAsia="仿宋_GB2312" w:cs="仿宋_GB2312"/>
          <w:sz w:val="32"/>
          <w:szCs w:val="32"/>
          <w:lang w:val="en-US" w:eastAsia="zh-CN"/>
        </w:rPr>
      </w:pPr>
    </w:p>
    <w:p>
      <w:pPr>
        <w:widowControl w:val="0"/>
        <w:wordWrap/>
        <w:spacing w:line="600" w:lineRule="exact"/>
        <w:ind w:left="0" w:leftChars="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二 检验依据</w:t>
      </w:r>
    </w:p>
    <w:p>
      <w:pPr>
        <w:widowControl w:val="0"/>
        <w:wordWrap/>
        <w:spacing w:line="600" w:lineRule="exact"/>
        <w:ind w:left="0" w:leftChars="0" w:firstLine="42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本次抽查检验项目和检验方法依据见表1。</w:t>
      </w:r>
    </w:p>
    <w:tbl>
      <w:tblPr>
        <w:tblStyle w:val="4"/>
        <w:tblW w:w="8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30"/>
        <w:gridCol w:w="2030"/>
        <w:gridCol w:w="1230"/>
        <w:gridCol w:w="910"/>
        <w:gridCol w:w="88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708" w:type="dxa"/>
            <w:vMerge w:val="restart"/>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1530" w:type="dxa"/>
            <w:vMerge w:val="restart"/>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检验项目</w:t>
            </w:r>
          </w:p>
        </w:tc>
        <w:tc>
          <w:tcPr>
            <w:tcW w:w="2030" w:type="dxa"/>
            <w:vMerge w:val="restart"/>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依据标准条款</w:t>
            </w:r>
          </w:p>
        </w:tc>
        <w:tc>
          <w:tcPr>
            <w:tcW w:w="1230" w:type="dxa"/>
            <w:vMerge w:val="restart"/>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强制性/推荐性</w:t>
            </w:r>
          </w:p>
        </w:tc>
        <w:tc>
          <w:tcPr>
            <w:tcW w:w="2670" w:type="dxa"/>
            <w:gridSpan w:val="3"/>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质量指标重要程度分类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708" w:type="dxa"/>
            <w:vMerge w:val="continue"/>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1530" w:type="dxa"/>
            <w:vMerge w:val="continue"/>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2030" w:type="dxa"/>
            <w:vMerge w:val="continue"/>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1230" w:type="dxa"/>
            <w:vMerge w:val="continue"/>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91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重要</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较重要</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次要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5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抗碎强度</w:t>
            </w:r>
          </w:p>
        </w:tc>
        <w:tc>
          <w:tcPr>
            <w:tcW w:w="20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DB44/T 1052-2018附录A</w:t>
            </w:r>
          </w:p>
        </w:tc>
        <w:tc>
          <w:tcPr>
            <w:tcW w:w="12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推荐性</w:t>
            </w:r>
          </w:p>
        </w:tc>
        <w:tc>
          <w:tcPr>
            <w:tcW w:w="91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5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全水分</w:t>
            </w:r>
          </w:p>
        </w:tc>
        <w:tc>
          <w:tcPr>
            <w:tcW w:w="20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28733-2012</w:t>
            </w:r>
          </w:p>
        </w:tc>
        <w:tc>
          <w:tcPr>
            <w:tcW w:w="12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推荐性</w:t>
            </w:r>
          </w:p>
        </w:tc>
        <w:tc>
          <w:tcPr>
            <w:tcW w:w="91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5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灰分</w:t>
            </w:r>
          </w:p>
        </w:tc>
        <w:tc>
          <w:tcPr>
            <w:tcW w:w="20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28731-2012第4条</w:t>
            </w:r>
          </w:p>
        </w:tc>
        <w:tc>
          <w:tcPr>
            <w:tcW w:w="12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推荐性</w:t>
            </w:r>
          </w:p>
        </w:tc>
        <w:tc>
          <w:tcPr>
            <w:tcW w:w="91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5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挥发分</w:t>
            </w:r>
          </w:p>
        </w:tc>
        <w:tc>
          <w:tcPr>
            <w:tcW w:w="20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28731-2012第4条</w:t>
            </w:r>
          </w:p>
        </w:tc>
        <w:tc>
          <w:tcPr>
            <w:tcW w:w="12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推荐性</w:t>
            </w:r>
          </w:p>
        </w:tc>
        <w:tc>
          <w:tcPr>
            <w:tcW w:w="91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5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全硫</w:t>
            </w:r>
          </w:p>
        </w:tc>
        <w:tc>
          <w:tcPr>
            <w:tcW w:w="20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28732-2012</w:t>
            </w:r>
          </w:p>
        </w:tc>
        <w:tc>
          <w:tcPr>
            <w:tcW w:w="12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推荐性</w:t>
            </w:r>
          </w:p>
        </w:tc>
        <w:tc>
          <w:tcPr>
            <w:tcW w:w="91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15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氯</w:t>
            </w:r>
          </w:p>
        </w:tc>
        <w:tc>
          <w:tcPr>
            <w:tcW w:w="20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30729-2014</w:t>
            </w:r>
          </w:p>
        </w:tc>
        <w:tc>
          <w:tcPr>
            <w:tcW w:w="12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推荐性</w:t>
            </w:r>
          </w:p>
        </w:tc>
        <w:tc>
          <w:tcPr>
            <w:tcW w:w="91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15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收到基低位发热量</w:t>
            </w:r>
          </w:p>
        </w:tc>
        <w:tc>
          <w:tcPr>
            <w:tcW w:w="20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30727-2014</w:t>
            </w:r>
          </w:p>
        </w:tc>
        <w:tc>
          <w:tcPr>
            <w:tcW w:w="12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推荐性</w:t>
            </w:r>
          </w:p>
        </w:tc>
        <w:tc>
          <w:tcPr>
            <w:tcW w:w="91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15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制样</w:t>
            </w:r>
          </w:p>
        </w:tc>
        <w:tc>
          <w:tcPr>
            <w:tcW w:w="20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28730-2012</w:t>
            </w:r>
          </w:p>
        </w:tc>
        <w:tc>
          <w:tcPr>
            <w:tcW w:w="123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推荐性</w:t>
            </w:r>
          </w:p>
        </w:tc>
        <w:tc>
          <w:tcPr>
            <w:tcW w:w="91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0" w:type="dxa"/>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bl>
    <w:p>
      <w:pPr>
        <w:widowControl w:val="0"/>
        <w:wordWrap/>
        <w:adjustRightInd w:val="0"/>
        <w:snapToGrid w:val="0"/>
        <w:spacing w:line="600" w:lineRule="exact"/>
        <w:ind w:left="0" w:leftChars="0"/>
        <w:textAlignment w:val="auto"/>
        <w:rPr>
          <w:rFonts w:hint="eastAsia" w:ascii="仿宋_GB2312" w:hAnsi="仿宋_GB2312" w:eastAsia="仿宋_GB2312" w:cs="仿宋_GB2312"/>
          <w:color w:val="000000"/>
          <w:sz w:val="32"/>
          <w:szCs w:val="32"/>
        </w:rPr>
      </w:pPr>
    </w:p>
    <w:p>
      <w:pPr>
        <w:widowControl w:val="0"/>
        <w:wordWrap/>
        <w:adjustRightInd w:val="0"/>
        <w:snapToGrid w:val="0"/>
        <w:spacing w:line="600" w:lineRule="exact"/>
        <w:ind w:left="0" w:leftChars="0"/>
        <w:textAlignment w:val="auto"/>
        <w:rPr>
          <w:rFonts w:hint="eastAsia" w:ascii="仿宋_GB2312" w:hAnsi="仿宋_GB2312" w:eastAsia="仿宋_GB2312" w:cs="仿宋_GB2312"/>
          <w:color w:val="000000"/>
          <w:sz w:val="32"/>
          <w:szCs w:val="32"/>
        </w:rPr>
      </w:pPr>
    </w:p>
    <w:p>
      <w:pPr>
        <w:widowControl w:val="0"/>
        <w:wordWrap/>
        <w:adjustRightInd w:val="0"/>
        <w:snapToGrid w:val="0"/>
        <w:spacing w:line="600" w:lineRule="exact"/>
        <w:ind w:left="0" w:left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 xml:space="preserve"> 判定规则</w:t>
      </w:r>
    </w:p>
    <w:p>
      <w:pPr>
        <w:widowControl w:val="0"/>
        <w:wordWrap/>
        <w:spacing w:line="600" w:lineRule="exact"/>
        <w:ind w:left="0" w:lef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依据标准</w:t>
      </w:r>
    </w:p>
    <w:p>
      <w:pPr>
        <w:widowControl w:val="0"/>
        <w:wordWrap/>
        <w:spacing w:line="600" w:lineRule="exact"/>
        <w:ind w:left="0" w:leftChars="0" w:firstLine="4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DB44/T 1052-2018《工业锅炉用生物质成型燃料》</w:t>
      </w:r>
    </w:p>
    <w:p>
      <w:pPr>
        <w:widowControl w:val="0"/>
        <w:wordWrap/>
        <w:adjustRightInd w:val="0"/>
        <w:snapToGrid w:val="0"/>
        <w:spacing w:line="600" w:lineRule="exact"/>
        <w:ind w:left="0" w:leftChars="0" w:firstLine="42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widowControl w:val="0"/>
        <w:wordWrap/>
        <w:adjustRightInd w:val="0"/>
        <w:snapToGrid w:val="0"/>
        <w:spacing w:line="600" w:lineRule="exact"/>
        <w:ind w:left="0" w:lef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bookmarkStart w:id="0" w:name="_GoBack"/>
      <w:bookmarkEnd w:id="0"/>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判定原则</w:t>
      </w:r>
    </w:p>
    <w:p>
      <w:pPr>
        <w:widowControl w:val="0"/>
        <w:wordWrap/>
        <w:adjustRightInd w:val="0"/>
        <w:snapToGrid w:val="0"/>
        <w:spacing w:line="600" w:lineRule="exact"/>
        <w:ind w:left="0" w:leftChars="0" w:firstLine="417" w:firstLineChars="199"/>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经检验，所检验项目全部符合标准要求，判定为被抽查产品未发现不合格；检验项目中任一项或一项以上不合格，判定为被抽查产品不合格。</w:t>
      </w:r>
    </w:p>
    <w:p>
      <w:pPr>
        <w:widowControl w:val="0"/>
        <w:wordWrap/>
        <w:adjustRightInd w:val="0"/>
        <w:snapToGrid w:val="0"/>
        <w:spacing w:line="600" w:lineRule="exact"/>
        <w:ind w:left="0" w:leftChars="0" w:firstLine="417" w:firstLineChars="199"/>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若被检产品明示的质量要求高于本细则中检验项目依据的标准要求时，应按被检产品明示的质量要求判定。</w:t>
      </w:r>
    </w:p>
    <w:p>
      <w:pPr>
        <w:widowControl w:val="0"/>
        <w:wordWrap/>
        <w:adjustRightInd w:val="0"/>
        <w:snapToGrid w:val="0"/>
        <w:spacing w:line="600" w:lineRule="exact"/>
        <w:ind w:left="0" w:leftChars="0" w:firstLine="417" w:firstLineChars="199"/>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若被检产品明示的质量要求低于本细则中检验项目依据的强制性标准要求时，应按照强制性标准要求判定。</w:t>
      </w:r>
    </w:p>
    <w:p>
      <w:pPr>
        <w:widowControl w:val="0"/>
        <w:wordWrap/>
        <w:adjustRightInd w:val="0"/>
        <w:snapToGrid w:val="0"/>
        <w:spacing w:line="600" w:lineRule="exact"/>
        <w:ind w:left="0" w:leftChars="0" w:firstLine="417" w:firstLineChars="199"/>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若被检产品明示的质量要求低于或包含本细则中检验项目依据的推荐性标准要求时，应以被检产品明示的质量要求判定，但应在检验报告备注中进行说明。</w:t>
      </w:r>
    </w:p>
    <w:p>
      <w:pPr>
        <w:widowControl w:val="0"/>
        <w:wordWrap/>
        <w:adjustRightInd w:val="0"/>
        <w:snapToGrid w:val="0"/>
        <w:spacing w:line="600" w:lineRule="exact"/>
        <w:ind w:left="0" w:leftChars="0" w:firstLine="417" w:firstLineChars="199"/>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若被检产品明示的质量要求缺少本细则中检验项目依据的强制性标准要求时，应按照强制性标准要求判定。</w:t>
      </w:r>
    </w:p>
    <w:p>
      <w:pPr>
        <w:widowControl w:val="0"/>
        <w:wordWrap/>
        <w:adjustRightInd w:val="0"/>
        <w:snapToGrid w:val="0"/>
        <w:spacing w:line="600" w:lineRule="exact"/>
        <w:ind w:left="0" w:leftChars="0" w:firstLine="4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若被检产品明示的质量要求缺少本细则中检验项目依据的推荐性标准要求时，该项目不参与判定，但应在检验报告备注中进行说明。</w:t>
      </w:r>
    </w:p>
    <w:p>
      <w:pPr>
        <w:widowControl w:val="0"/>
        <w:wordWrap/>
        <w:adjustRightInd w:val="0"/>
        <w:snapToGrid w:val="0"/>
        <w:spacing w:line="600" w:lineRule="exact"/>
        <w:ind w:left="0" w:leftChars="0"/>
        <w:textAlignment w:val="auto"/>
        <w:rPr>
          <w:rFonts w:hint="eastAsia" w:ascii="仿宋_GB2312" w:hAnsi="仿宋_GB2312" w:eastAsia="仿宋_GB2312" w:cs="仿宋_GB2312"/>
          <w:color w:val="000000"/>
          <w:sz w:val="32"/>
          <w:szCs w:val="32"/>
        </w:rPr>
      </w:pPr>
    </w:p>
    <w:p>
      <w:pPr>
        <w:pStyle w:val="2"/>
        <w:widowControl w:val="0"/>
        <w:wordWrap/>
        <w:spacing w:line="600" w:lineRule="exact"/>
        <w:ind w:left="0" w:leftChars="0"/>
        <w:textAlignment w:val="auto"/>
        <w:rPr>
          <w:rFonts w:hint="eastAsia" w:ascii="仿宋_GB2312" w:hAnsi="仿宋_GB2312" w:eastAsia="仿宋_GB2312" w:cs="仿宋_GB2312"/>
          <w:sz w:val="32"/>
          <w:szCs w:val="32"/>
        </w:rPr>
      </w:pPr>
    </w:p>
    <w:p>
      <w:pPr>
        <w:widowControl w:val="0"/>
        <w:wordWrap/>
        <w:adjustRightInd w:val="0"/>
        <w:snapToGrid w:val="0"/>
        <w:spacing w:line="600" w:lineRule="exact"/>
        <w:ind w:left="0" w:leftChars="0"/>
        <w:textAlignment w:val="auto"/>
        <w:rPr>
          <w:rFonts w:hint="eastAsia" w:ascii="仿宋_GB2312" w:hAnsi="仿宋_GB2312" w:eastAsia="仿宋_GB2312" w:cs="仿宋_GB2312"/>
          <w:color w:val="000000"/>
          <w:sz w:val="32"/>
          <w:szCs w:val="32"/>
        </w:rPr>
      </w:pPr>
    </w:p>
    <w:p>
      <w:pPr>
        <w:pStyle w:val="2"/>
        <w:widowControl w:val="0"/>
        <w:wordWrap/>
        <w:spacing w:line="600" w:lineRule="exact"/>
        <w:ind w:left="0" w:leftChars="0"/>
        <w:textAlignment w:val="auto"/>
        <w:rPr>
          <w:rFonts w:hint="eastAsia" w:ascii="仿宋_GB2312" w:hAnsi="仿宋_GB2312" w:eastAsia="仿宋_GB2312" w:cs="仿宋_GB2312"/>
          <w:sz w:val="32"/>
          <w:szCs w:val="32"/>
        </w:rPr>
      </w:pPr>
    </w:p>
    <w:p>
      <w:pPr>
        <w:pStyle w:val="2"/>
        <w:widowControl w:val="0"/>
        <w:wordWrap/>
        <w:spacing w:line="600" w:lineRule="exact"/>
        <w:ind w:left="0" w:leftChars="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EF8091D"/>
    <w:rsid w:val="06BC41A1"/>
    <w:rsid w:val="2EF8091D"/>
    <w:rsid w:val="69367529"/>
    <w:rsid w:val="7E9C2F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2022-06-02T08:30:00Z</dcterms:created>
  <dc:creator>YWB</dc:creator>
  <cp:lastModifiedBy>杨艳华</cp:lastModifiedBy>
  <dcterms:modified xsi:type="dcterms:W3CDTF">2022-06-06T07:36:14Z</dcterms:modified>
  <dc:title>附件22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