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keepNext w:val="0"/>
        <w:keepLines w:val="0"/>
        <w:pageBreakBefore w:val="0"/>
        <w:widowControl w:val="0"/>
        <w:kinsoku/>
        <w:wordWrap/>
        <w:overflowPunct/>
        <w:topLinePunct w:val="0"/>
        <w:autoSpaceDN/>
        <w:bidi w:val="0"/>
        <w:adjustRightInd/>
        <w:snapToGrid/>
        <w:spacing w:before="0" w:beforeLines="0" w:after="0" w:afterLines="0" w:line="560" w:lineRule="exact"/>
        <w:ind w:left="0" w:leftChars="0" w:right="0" w:rightChars="0" w:firstLine="0" w:firstLineChars="0"/>
        <w:jc w:val="center"/>
        <w:textAlignment w:val="auto"/>
        <w:rPr>
          <w:rFonts w:hint="eastAsia" w:ascii="方正小标宋_GBK" w:hAnsi="方正小标宋_GBK" w:eastAsia="方正小标宋_GBK" w:cs="方正小标宋_GBK"/>
          <w:sz w:val="44"/>
          <w:szCs w:val="44"/>
          <w:lang w:val="en-US" w:eastAsia="zh-CN"/>
        </w:rPr>
      </w:pPr>
    </w:p>
    <w:p>
      <w:pPr>
        <w:rPr>
          <w:rFonts w:hint="eastAsia" w:ascii="仿宋_GB2312" w:hAnsi="仿宋_GB2312" w:eastAsia="仿宋_GB2312"/>
          <w:sz w:val="32"/>
          <w:lang w:val="en-US" w:eastAsia="zh-CN"/>
        </w:rPr>
      </w:pPr>
      <w:r>
        <w:rPr>
          <w:rFonts w:hint="eastAsia" w:ascii="仿宋_GB2312" w:hAnsi="仿宋_GB2312" w:eastAsia="仿宋_GB2312"/>
          <w:sz w:val="32"/>
          <w:lang w:val="en-US" w:eastAsia="zh-CN"/>
        </w:rPr>
        <w:t xml:space="preserve">附件1 </w:t>
      </w:r>
    </w:p>
    <w:p>
      <w:pPr>
        <w:ind w:left="0" w:leftChars="0" w:right="0" w:rightChars="0" w:firstLine="0" w:firstLineChars="0"/>
        <w:jc w:val="center"/>
        <w:rPr>
          <w:rFonts w:hint="eastAsia" w:ascii="方正小标宋_GBK" w:hAnsi="方正小标宋_GBK" w:eastAsia="方正小标宋_GBK"/>
          <w:sz w:val="44"/>
          <w:lang w:val="en-US" w:eastAsia="zh-CN"/>
        </w:rPr>
      </w:pPr>
      <w:r>
        <w:rPr>
          <w:rFonts w:hint="eastAsia" w:ascii="方正小标宋_GBK" w:hAnsi="方正小标宋_GBK" w:eastAsia="方正小标宋_GBK"/>
          <w:sz w:val="44"/>
          <w:lang w:val="en-US" w:eastAsia="zh-CN"/>
        </w:rPr>
        <w:t>2022年清远市中小企业经营管理人员</w:t>
      </w:r>
    </w:p>
    <w:p>
      <w:pPr>
        <w:ind w:left="0" w:leftChars="0" w:right="0" w:rightChars="0" w:firstLine="0" w:firstLineChars="0"/>
        <w:jc w:val="center"/>
        <w:rPr>
          <w:rFonts w:hint="eastAsia" w:ascii="方正小标宋_GBK" w:hAnsi="方正小标宋_GBK" w:eastAsia="方正小标宋_GBK"/>
          <w:sz w:val="44"/>
          <w:lang w:val="en-US" w:eastAsia="zh-CN"/>
        </w:rPr>
      </w:pPr>
      <w:r>
        <w:rPr>
          <w:rFonts w:hint="eastAsia" w:ascii="方正小标宋_GBK" w:hAnsi="方正小标宋_GBK" w:eastAsia="方正小标宋_GBK"/>
          <w:sz w:val="44"/>
          <w:lang w:val="en-US" w:eastAsia="zh-CN"/>
        </w:rPr>
        <w:t>培训（第一场）计划</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b/>
          <w:bCs/>
          <w:spacing w:val="17"/>
          <w:sz w:val="28"/>
          <w:szCs w:val="28"/>
          <w:lang w:val="en-US" w:eastAsia="zh-CN"/>
        </w:rPr>
      </w:pPr>
      <w:r>
        <w:rPr>
          <w:rFonts w:hint="eastAsia" w:ascii="宋体" w:hAnsi="宋体" w:cs="宋体"/>
          <w:b/>
          <w:bCs/>
          <w:spacing w:val="17"/>
          <w:sz w:val="28"/>
          <w:szCs w:val="28"/>
          <w:lang w:val="en-US" w:eastAsia="zh-CN"/>
        </w:rPr>
        <w:t>一</w:t>
      </w:r>
      <w:r>
        <w:rPr>
          <w:rFonts w:hint="eastAsia" w:ascii="宋体" w:hAnsi="宋体" w:eastAsia="宋体" w:cs="宋体"/>
          <w:b/>
          <w:bCs/>
          <w:spacing w:val="17"/>
          <w:sz w:val="28"/>
          <w:szCs w:val="28"/>
          <w:lang w:val="en-US" w:eastAsia="zh-CN"/>
        </w:rPr>
        <w:t>、培训主题</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Times New Roman" w:hAnsi="Times New Roman" w:eastAsia="仿宋_GB2312" w:cs="Times New Roman"/>
          <w:color w:val="auto"/>
          <w:kern w:val="0"/>
          <w:sz w:val="28"/>
          <w:szCs w:val="28"/>
          <w:highlight w:val="none"/>
          <w:lang w:val="en-US" w:eastAsia="zh-CN"/>
        </w:rPr>
      </w:pPr>
      <w:r>
        <w:rPr>
          <w:rFonts w:hint="eastAsia" w:ascii="Times New Roman" w:hAnsi="Times New Roman" w:eastAsia="仿宋_GB2312" w:cs="Times New Roman"/>
          <w:color w:val="auto"/>
          <w:kern w:val="0"/>
          <w:sz w:val="28"/>
          <w:szCs w:val="28"/>
          <w:highlight w:val="none"/>
          <w:lang w:val="en-US" w:eastAsia="zh-CN"/>
        </w:rPr>
        <w:t>『中国宏观经济形势“专精特新”战略与中小企业策略应用』</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Times New Roman" w:hAnsi="Times New Roman" w:eastAsia="仿宋_GB2312" w:cs="Times New Roman"/>
          <w:color w:val="auto"/>
          <w:kern w:val="0"/>
          <w:sz w:val="28"/>
          <w:szCs w:val="28"/>
          <w:highlight w:val="none"/>
          <w:lang w:val="en-US" w:eastAsia="zh-CN"/>
        </w:rPr>
      </w:pPr>
      <w:r>
        <w:rPr>
          <w:rFonts w:hint="eastAsia" w:ascii="Times New Roman" w:hAnsi="Times New Roman" w:eastAsia="仿宋_GB2312" w:cs="Times New Roman"/>
          <w:color w:val="auto"/>
          <w:kern w:val="0"/>
          <w:sz w:val="28"/>
          <w:szCs w:val="28"/>
          <w:highlight w:val="none"/>
          <w:lang w:val="en-US" w:eastAsia="zh-CN"/>
        </w:rPr>
        <w:t>『全球视角下“四新一高”新变局/新形态/新经济/新模式与高质量』</w:t>
      </w:r>
    </w:p>
    <w:p>
      <w:pPr>
        <w:pStyle w:val="12"/>
        <w:keepNext w:val="0"/>
        <w:keepLines w:val="0"/>
        <w:pageBreakBefore w:val="0"/>
        <w:widowControl w:val="0"/>
        <w:numPr>
          <w:ilvl w:val="0"/>
          <w:numId w:val="0"/>
        </w:numPr>
        <w:kinsoku/>
        <w:wordWrap/>
        <w:overflowPunct/>
        <w:topLinePunct w:val="0"/>
        <w:autoSpaceDE/>
        <w:autoSpaceDN/>
        <w:bidi w:val="0"/>
        <w:adjustRightInd/>
        <w:snapToGrid/>
        <w:spacing w:before="0" w:beforeLines="0" w:after="0" w:afterLines="0" w:line="560" w:lineRule="exact"/>
        <w:ind w:left="0" w:leftChars="0" w:right="0" w:rightChars="0" w:firstLine="560" w:firstLineChars="200"/>
        <w:jc w:val="both"/>
        <w:textAlignment w:val="auto"/>
        <w:outlineLvl w:val="9"/>
        <w:rPr>
          <w:rFonts w:hint="eastAsia" w:ascii="Times New Roman" w:hAnsi="Times New Roman" w:eastAsia="仿宋_GB2312" w:cs="Times New Roman"/>
          <w:color w:val="auto"/>
          <w:kern w:val="0"/>
          <w:sz w:val="28"/>
          <w:szCs w:val="28"/>
          <w:highlight w:val="none"/>
          <w:lang w:val="en-US" w:eastAsia="zh-CN"/>
        </w:rPr>
      </w:pPr>
      <w:r>
        <w:rPr>
          <w:rFonts w:hint="eastAsia" w:ascii="Times New Roman" w:hAnsi="Times New Roman" w:eastAsia="仿宋_GB2312" w:cs="Times New Roman"/>
          <w:color w:val="auto"/>
          <w:kern w:val="0"/>
          <w:sz w:val="28"/>
          <w:szCs w:val="28"/>
          <w:highlight w:val="none"/>
          <w:lang w:val="en-US" w:eastAsia="zh-CN"/>
        </w:rPr>
        <w:t>『中国“双碳”与数字经济背景下新基建发展与机遇』</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Times New Roman" w:hAnsi="Times New Roman" w:eastAsia="仿宋_GB2312" w:cs="Times New Roman"/>
          <w:color w:val="auto"/>
          <w:kern w:val="0"/>
          <w:sz w:val="28"/>
          <w:szCs w:val="28"/>
          <w:highlight w:val="none"/>
          <w:lang w:val="en-US" w:eastAsia="zh-CN"/>
        </w:rPr>
      </w:pPr>
      <w:r>
        <w:rPr>
          <w:rFonts w:hint="eastAsia" w:ascii="Times New Roman" w:hAnsi="Times New Roman" w:eastAsia="仿宋_GB2312" w:cs="Times New Roman"/>
          <w:color w:val="auto"/>
          <w:kern w:val="0"/>
          <w:sz w:val="28"/>
          <w:szCs w:val="28"/>
          <w:highlight w:val="none"/>
          <w:lang w:val="en-US" w:eastAsia="zh-CN"/>
        </w:rPr>
        <w:t>『“一带一路”引领下企业发展战略解码与增量系统建设』</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b/>
          <w:bCs/>
          <w:spacing w:val="17"/>
          <w:sz w:val="28"/>
          <w:szCs w:val="28"/>
          <w:lang w:val="en-US" w:eastAsia="zh-CN"/>
        </w:rPr>
      </w:pPr>
      <w:r>
        <w:rPr>
          <w:rFonts w:hint="eastAsia" w:ascii="宋体" w:hAnsi="宋体" w:cs="宋体"/>
          <w:b/>
          <w:bCs/>
          <w:spacing w:val="17"/>
          <w:sz w:val="28"/>
          <w:szCs w:val="28"/>
          <w:lang w:val="en-US" w:eastAsia="zh-CN"/>
        </w:rPr>
        <w:t>二</w:t>
      </w:r>
      <w:r>
        <w:rPr>
          <w:rFonts w:hint="eastAsia" w:ascii="宋体" w:hAnsi="宋体" w:eastAsia="宋体" w:cs="宋体"/>
          <w:b/>
          <w:bCs/>
          <w:spacing w:val="17"/>
          <w:sz w:val="28"/>
          <w:szCs w:val="28"/>
          <w:lang w:val="en-US" w:eastAsia="zh-CN"/>
        </w:rPr>
        <w:t>、培训时间</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auto"/>
          <w:kern w:val="0"/>
          <w:sz w:val="28"/>
          <w:szCs w:val="28"/>
          <w:highlight w:val="none"/>
          <w:lang w:val="en-US" w:eastAsia="zh-CN"/>
        </w:rPr>
      </w:pPr>
      <w:r>
        <w:rPr>
          <w:rFonts w:hint="eastAsia" w:ascii="宋体" w:hAnsi="宋体" w:eastAsia="宋体" w:cs="宋体"/>
          <w:color w:val="auto"/>
          <w:kern w:val="0"/>
          <w:sz w:val="28"/>
          <w:szCs w:val="28"/>
          <w:highlight w:val="none"/>
          <w:lang w:val="en-US" w:eastAsia="zh-CN"/>
        </w:rPr>
        <w:t>2022年6月16日至17日</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b/>
          <w:bCs/>
          <w:spacing w:val="17"/>
          <w:sz w:val="28"/>
          <w:szCs w:val="28"/>
          <w:lang w:val="en-US" w:eastAsia="zh-CN"/>
        </w:rPr>
      </w:pPr>
      <w:r>
        <w:rPr>
          <w:rFonts w:hint="eastAsia" w:ascii="宋体" w:hAnsi="宋体" w:cs="宋体"/>
          <w:b/>
          <w:bCs/>
          <w:spacing w:val="17"/>
          <w:sz w:val="28"/>
          <w:szCs w:val="28"/>
          <w:lang w:val="en-US" w:eastAsia="zh-CN"/>
        </w:rPr>
        <w:t>三</w:t>
      </w:r>
      <w:r>
        <w:rPr>
          <w:rFonts w:hint="eastAsia" w:ascii="宋体" w:hAnsi="宋体" w:eastAsia="宋体" w:cs="宋体"/>
          <w:b/>
          <w:bCs/>
          <w:spacing w:val="17"/>
          <w:sz w:val="28"/>
          <w:szCs w:val="28"/>
          <w:lang w:val="en-US" w:eastAsia="zh-CN"/>
        </w:rPr>
        <w:t>、培训地点</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auto"/>
          <w:kern w:val="0"/>
          <w:sz w:val="28"/>
          <w:szCs w:val="28"/>
          <w:highlight w:val="none"/>
          <w:lang w:val="en-US" w:eastAsia="zh-CN"/>
        </w:rPr>
      </w:pPr>
      <w:r>
        <w:rPr>
          <w:rFonts w:hint="eastAsia" w:ascii="宋体" w:hAnsi="宋体" w:eastAsia="宋体" w:cs="宋体"/>
          <w:color w:val="auto"/>
          <w:kern w:val="0"/>
          <w:sz w:val="28"/>
          <w:szCs w:val="28"/>
          <w:highlight w:val="none"/>
          <w:lang w:val="en-US" w:eastAsia="zh-CN"/>
        </w:rPr>
        <w:t>清远职业技术学院艺术楼301培训（会议）室</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b/>
          <w:bCs/>
          <w:spacing w:val="17"/>
          <w:sz w:val="28"/>
          <w:szCs w:val="28"/>
          <w:lang w:val="en-US" w:eastAsia="zh-CN"/>
        </w:rPr>
      </w:pPr>
      <w:r>
        <w:rPr>
          <w:rFonts w:hint="eastAsia" w:ascii="宋体" w:hAnsi="宋体" w:cs="宋体"/>
          <w:b/>
          <w:bCs/>
          <w:spacing w:val="17"/>
          <w:sz w:val="28"/>
          <w:szCs w:val="28"/>
          <w:lang w:val="en-US" w:eastAsia="zh-CN"/>
        </w:rPr>
        <w:t>四</w:t>
      </w:r>
      <w:r>
        <w:rPr>
          <w:rFonts w:hint="eastAsia" w:ascii="宋体" w:hAnsi="宋体" w:eastAsia="宋体" w:cs="宋体"/>
          <w:b/>
          <w:bCs/>
          <w:spacing w:val="17"/>
          <w:sz w:val="28"/>
          <w:szCs w:val="28"/>
          <w:lang w:val="en-US" w:eastAsia="zh-CN"/>
        </w:rPr>
        <w:t>、培训计划</w:t>
      </w:r>
    </w:p>
    <w:tbl>
      <w:tblPr>
        <w:tblStyle w:val="5"/>
        <w:tblW w:w="9398" w:type="dxa"/>
        <w:tblInd w:w="8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4"/>
        <w:gridCol w:w="2294"/>
        <w:gridCol w:w="2975"/>
        <w:gridCol w:w="2190"/>
        <w:gridCol w:w="12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724" w:type="dxa"/>
            <w:noWrap w:val="0"/>
            <w:vAlign w:val="top"/>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序号</w:t>
            </w:r>
          </w:p>
        </w:tc>
        <w:tc>
          <w:tcPr>
            <w:tcW w:w="2294" w:type="dxa"/>
            <w:noWrap w:val="0"/>
            <w:vAlign w:val="top"/>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时间</w:t>
            </w:r>
          </w:p>
        </w:tc>
        <w:tc>
          <w:tcPr>
            <w:tcW w:w="2975" w:type="dxa"/>
            <w:noWrap w:val="0"/>
            <w:vAlign w:val="top"/>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内容</w:t>
            </w:r>
          </w:p>
        </w:tc>
        <w:tc>
          <w:tcPr>
            <w:tcW w:w="2190" w:type="dxa"/>
            <w:noWrap w:val="0"/>
            <w:vAlign w:val="top"/>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主讲/出席嘉宾</w:t>
            </w:r>
          </w:p>
        </w:tc>
        <w:tc>
          <w:tcPr>
            <w:tcW w:w="1215" w:type="dxa"/>
            <w:noWrap w:val="0"/>
            <w:vAlign w:val="top"/>
          </w:tcPr>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724"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sz w:val="24"/>
                <w:szCs w:val="24"/>
                <w:vertAlign w:val="baseline"/>
                <w:lang w:val="en-US" w:eastAsia="zh-CN"/>
              </w:rPr>
            </w:pPr>
            <w:r>
              <w:rPr>
                <w:rFonts w:hint="eastAsia" w:ascii="宋体" w:hAnsi="宋体" w:eastAsia="宋体" w:cs="宋体"/>
                <w:b w:val="0"/>
                <w:bCs w:val="0"/>
                <w:sz w:val="24"/>
                <w:szCs w:val="24"/>
                <w:vertAlign w:val="baseline"/>
                <w:lang w:val="en-US" w:eastAsia="zh-CN"/>
              </w:rPr>
              <w:t>1</w:t>
            </w:r>
          </w:p>
        </w:tc>
        <w:tc>
          <w:tcPr>
            <w:tcW w:w="2294"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6月16日08:30-09:00</w:t>
            </w:r>
          </w:p>
        </w:tc>
        <w:tc>
          <w:tcPr>
            <w:tcW w:w="297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健康登记/培训签到</w:t>
            </w:r>
          </w:p>
        </w:tc>
        <w:tc>
          <w:tcPr>
            <w:tcW w:w="2190"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陈慧玲/阮洁婷老师</w:t>
            </w:r>
          </w:p>
        </w:tc>
        <w:tc>
          <w:tcPr>
            <w:tcW w:w="121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班务人员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724"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sz w:val="24"/>
                <w:szCs w:val="24"/>
                <w:vertAlign w:val="baseline"/>
                <w:lang w:val="en-US" w:eastAsia="zh-CN"/>
              </w:rPr>
            </w:pPr>
            <w:r>
              <w:rPr>
                <w:rFonts w:hint="eastAsia" w:ascii="宋体" w:hAnsi="宋体" w:eastAsia="宋体" w:cs="宋体"/>
                <w:b w:val="0"/>
                <w:bCs w:val="0"/>
                <w:sz w:val="24"/>
                <w:szCs w:val="24"/>
                <w:vertAlign w:val="baseline"/>
                <w:lang w:val="en-US" w:eastAsia="zh-CN"/>
              </w:rPr>
              <w:t>2</w:t>
            </w:r>
          </w:p>
        </w:tc>
        <w:tc>
          <w:tcPr>
            <w:tcW w:w="2294"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 xml:space="preserve">        09:00-09:30</w:t>
            </w:r>
          </w:p>
        </w:tc>
        <w:tc>
          <w:tcPr>
            <w:tcW w:w="297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开班仪式/领导发言</w:t>
            </w:r>
          </w:p>
        </w:tc>
        <w:tc>
          <w:tcPr>
            <w:tcW w:w="2190"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kern w:val="2"/>
                <w:sz w:val="21"/>
                <w:szCs w:val="21"/>
                <w:vertAlign w:val="baseline"/>
                <w:lang w:val="en-US" w:eastAsia="zh-CN" w:bidi="ar-SA"/>
              </w:rPr>
              <w:t>工信局领导代表</w:t>
            </w:r>
          </w:p>
        </w:tc>
        <w:tc>
          <w:tcPr>
            <w:tcW w:w="121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724"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sz w:val="24"/>
                <w:szCs w:val="24"/>
                <w:vertAlign w:val="baseline"/>
                <w:lang w:val="en-US" w:eastAsia="zh-CN"/>
              </w:rPr>
            </w:pPr>
            <w:r>
              <w:rPr>
                <w:rFonts w:hint="eastAsia" w:ascii="宋体" w:hAnsi="宋体" w:eastAsia="宋体" w:cs="宋体"/>
                <w:b w:val="0"/>
                <w:bCs w:val="0"/>
                <w:sz w:val="24"/>
                <w:szCs w:val="24"/>
                <w:vertAlign w:val="baseline"/>
                <w:lang w:val="en-US" w:eastAsia="zh-CN"/>
              </w:rPr>
              <w:t>3</w:t>
            </w:r>
          </w:p>
        </w:tc>
        <w:tc>
          <w:tcPr>
            <w:tcW w:w="2294"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 xml:space="preserve">        09:30-10:30</w:t>
            </w:r>
          </w:p>
        </w:tc>
        <w:tc>
          <w:tcPr>
            <w:tcW w:w="297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《中国宏观经济形势“专精特新”战略与中小企业策略应用》</w:t>
            </w:r>
          </w:p>
        </w:tc>
        <w:tc>
          <w:tcPr>
            <w:tcW w:w="2190"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黎利权 老师</w:t>
            </w:r>
          </w:p>
        </w:tc>
        <w:tc>
          <w:tcPr>
            <w:tcW w:w="121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trPr>
        <w:tc>
          <w:tcPr>
            <w:tcW w:w="724"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sz w:val="24"/>
                <w:szCs w:val="24"/>
                <w:vertAlign w:val="baseline"/>
                <w:lang w:val="en-US" w:eastAsia="zh-CN"/>
              </w:rPr>
            </w:pPr>
            <w:r>
              <w:rPr>
                <w:rFonts w:hint="eastAsia" w:ascii="宋体" w:hAnsi="宋体" w:eastAsia="宋体" w:cs="宋体"/>
                <w:b w:val="0"/>
                <w:bCs w:val="0"/>
                <w:sz w:val="24"/>
                <w:szCs w:val="24"/>
                <w:vertAlign w:val="baseline"/>
                <w:lang w:val="en-US" w:eastAsia="zh-CN"/>
              </w:rPr>
              <w:t>4</w:t>
            </w:r>
          </w:p>
        </w:tc>
        <w:tc>
          <w:tcPr>
            <w:tcW w:w="2294"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 xml:space="preserve">        14:00-14:30</w:t>
            </w:r>
          </w:p>
        </w:tc>
        <w:tc>
          <w:tcPr>
            <w:tcW w:w="297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下午培训签到</w:t>
            </w:r>
          </w:p>
        </w:tc>
        <w:tc>
          <w:tcPr>
            <w:tcW w:w="2190"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陈慧玲/阮洁婷老师</w:t>
            </w:r>
          </w:p>
        </w:tc>
        <w:tc>
          <w:tcPr>
            <w:tcW w:w="121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班务人员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trPr>
        <w:tc>
          <w:tcPr>
            <w:tcW w:w="724"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sz w:val="24"/>
                <w:szCs w:val="24"/>
                <w:vertAlign w:val="baseline"/>
                <w:lang w:val="en-US" w:eastAsia="zh-CN"/>
              </w:rPr>
            </w:pPr>
            <w:r>
              <w:rPr>
                <w:rFonts w:hint="eastAsia" w:ascii="宋体" w:hAnsi="宋体" w:eastAsia="宋体" w:cs="宋体"/>
                <w:b w:val="0"/>
                <w:bCs w:val="0"/>
                <w:sz w:val="24"/>
                <w:szCs w:val="24"/>
                <w:vertAlign w:val="baseline"/>
                <w:lang w:val="en-US" w:eastAsia="zh-CN"/>
              </w:rPr>
              <w:t>5</w:t>
            </w:r>
          </w:p>
        </w:tc>
        <w:tc>
          <w:tcPr>
            <w:tcW w:w="2294"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 xml:space="preserve">        14:30-15:30</w:t>
            </w:r>
          </w:p>
        </w:tc>
        <w:tc>
          <w:tcPr>
            <w:tcW w:w="297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《全球视角下“四新一高”新变局/新形态/新经济/新模式与高质量》</w:t>
            </w:r>
          </w:p>
        </w:tc>
        <w:tc>
          <w:tcPr>
            <w:tcW w:w="2190"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徐吉祥 老师</w:t>
            </w:r>
          </w:p>
        </w:tc>
        <w:tc>
          <w:tcPr>
            <w:tcW w:w="121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724"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sz w:val="24"/>
                <w:szCs w:val="24"/>
                <w:vertAlign w:val="baseline"/>
                <w:lang w:val="en-US" w:eastAsia="zh-CN"/>
              </w:rPr>
            </w:pPr>
            <w:r>
              <w:rPr>
                <w:rFonts w:hint="eastAsia" w:ascii="宋体" w:hAnsi="宋体" w:eastAsia="宋体" w:cs="宋体"/>
                <w:b w:val="0"/>
                <w:bCs w:val="0"/>
                <w:sz w:val="24"/>
                <w:szCs w:val="24"/>
                <w:vertAlign w:val="baseline"/>
                <w:lang w:val="en-US" w:eastAsia="zh-CN"/>
              </w:rPr>
              <w:t>6</w:t>
            </w:r>
          </w:p>
        </w:tc>
        <w:tc>
          <w:tcPr>
            <w:tcW w:w="2294"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 xml:space="preserve">        16:50-18:50</w:t>
            </w:r>
          </w:p>
        </w:tc>
        <w:tc>
          <w:tcPr>
            <w:tcW w:w="297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晚餐/自由活动</w:t>
            </w:r>
          </w:p>
        </w:tc>
        <w:tc>
          <w:tcPr>
            <w:tcW w:w="2190"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学员自主安排</w:t>
            </w:r>
          </w:p>
        </w:tc>
        <w:tc>
          <w:tcPr>
            <w:tcW w:w="121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724"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sz w:val="24"/>
                <w:szCs w:val="24"/>
                <w:vertAlign w:val="baseline"/>
                <w:lang w:val="en-US" w:eastAsia="zh-CN"/>
              </w:rPr>
            </w:pPr>
            <w:r>
              <w:rPr>
                <w:rFonts w:hint="eastAsia" w:ascii="宋体" w:hAnsi="宋体" w:eastAsia="宋体" w:cs="宋体"/>
                <w:b w:val="0"/>
                <w:bCs w:val="0"/>
                <w:sz w:val="24"/>
                <w:szCs w:val="24"/>
                <w:vertAlign w:val="baseline"/>
                <w:lang w:val="en-US" w:eastAsia="zh-CN"/>
              </w:rPr>
              <w:t>7</w:t>
            </w:r>
          </w:p>
        </w:tc>
        <w:tc>
          <w:tcPr>
            <w:tcW w:w="2294"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6月17日 9:00-09:30</w:t>
            </w:r>
          </w:p>
        </w:tc>
        <w:tc>
          <w:tcPr>
            <w:tcW w:w="297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健康登记/培训签到</w:t>
            </w:r>
          </w:p>
        </w:tc>
        <w:tc>
          <w:tcPr>
            <w:tcW w:w="2190"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陈慧玲/阮洁婷老师</w:t>
            </w:r>
          </w:p>
        </w:tc>
        <w:tc>
          <w:tcPr>
            <w:tcW w:w="121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班务人员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24"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sz w:val="24"/>
                <w:szCs w:val="24"/>
                <w:vertAlign w:val="baseline"/>
                <w:lang w:val="en-US" w:eastAsia="zh-CN"/>
              </w:rPr>
            </w:pPr>
            <w:r>
              <w:rPr>
                <w:rFonts w:hint="eastAsia" w:ascii="宋体" w:hAnsi="宋体" w:eastAsia="宋体" w:cs="宋体"/>
                <w:b w:val="0"/>
                <w:bCs w:val="0"/>
                <w:sz w:val="24"/>
                <w:szCs w:val="24"/>
                <w:vertAlign w:val="baseline"/>
                <w:lang w:val="en-US" w:eastAsia="zh-CN"/>
              </w:rPr>
              <w:t>8</w:t>
            </w:r>
          </w:p>
        </w:tc>
        <w:tc>
          <w:tcPr>
            <w:tcW w:w="2294"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 xml:space="preserve">        09:30-11:50</w:t>
            </w:r>
          </w:p>
        </w:tc>
        <w:tc>
          <w:tcPr>
            <w:tcW w:w="297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《中国“双碳”与数字经济背景下新基建发展与机遇》</w:t>
            </w:r>
          </w:p>
        </w:tc>
        <w:tc>
          <w:tcPr>
            <w:tcW w:w="2190"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熊  飞 老师</w:t>
            </w:r>
          </w:p>
        </w:tc>
        <w:tc>
          <w:tcPr>
            <w:tcW w:w="121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4" w:hRule="atLeast"/>
        </w:trPr>
        <w:tc>
          <w:tcPr>
            <w:tcW w:w="724"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sz w:val="24"/>
                <w:szCs w:val="24"/>
                <w:vertAlign w:val="baseline"/>
                <w:lang w:val="en-US" w:eastAsia="zh-CN"/>
              </w:rPr>
            </w:pPr>
            <w:r>
              <w:rPr>
                <w:rFonts w:hint="eastAsia" w:ascii="宋体" w:hAnsi="宋体" w:eastAsia="宋体" w:cs="宋体"/>
                <w:b w:val="0"/>
                <w:bCs w:val="0"/>
                <w:sz w:val="24"/>
                <w:szCs w:val="24"/>
                <w:vertAlign w:val="baseline"/>
                <w:lang w:val="en-US" w:eastAsia="zh-CN"/>
              </w:rPr>
              <w:t>9</w:t>
            </w:r>
          </w:p>
        </w:tc>
        <w:tc>
          <w:tcPr>
            <w:tcW w:w="2294"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 xml:space="preserve">       14:30-16:50</w:t>
            </w:r>
          </w:p>
        </w:tc>
        <w:tc>
          <w:tcPr>
            <w:tcW w:w="297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《“一带一路”引领下企业发展战略解码与增量系统建设》</w:t>
            </w:r>
          </w:p>
        </w:tc>
        <w:tc>
          <w:tcPr>
            <w:tcW w:w="2190"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谢文鸿 老师</w:t>
            </w:r>
          </w:p>
        </w:tc>
        <w:tc>
          <w:tcPr>
            <w:tcW w:w="121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724"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sz w:val="24"/>
                <w:szCs w:val="24"/>
                <w:vertAlign w:val="baseline"/>
                <w:lang w:val="en-US" w:eastAsia="zh-CN"/>
              </w:rPr>
            </w:pPr>
            <w:r>
              <w:rPr>
                <w:rFonts w:hint="eastAsia" w:ascii="宋体" w:hAnsi="宋体" w:eastAsia="宋体" w:cs="宋体"/>
                <w:b w:val="0"/>
                <w:bCs w:val="0"/>
                <w:sz w:val="24"/>
                <w:szCs w:val="24"/>
                <w:vertAlign w:val="baseline"/>
                <w:lang w:val="en-US" w:eastAsia="zh-CN"/>
              </w:rPr>
              <w:t>10</w:t>
            </w:r>
          </w:p>
        </w:tc>
        <w:tc>
          <w:tcPr>
            <w:tcW w:w="229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 xml:space="preserve">       16:30-17:00</w:t>
            </w:r>
          </w:p>
        </w:tc>
        <w:tc>
          <w:tcPr>
            <w:tcW w:w="297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培训结业表彰</w:t>
            </w:r>
          </w:p>
        </w:tc>
        <w:tc>
          <w:tcPr>
            <w:tcW w:w="2190"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班主任老师</w:t>
            </w:r>
          </w:p>
        </w:tc>
        <w:tc>
          <w:tcPr>
            <w:tcW w:w="121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kern w:val="2"/>
                <w:sz w:val="21"/>
                <w:szCs w:val="21"/>
                <w:vertAlign w:val="baseline"/>
                <w:lang w:val="en-US" w:eastAsia="zh-CN" w:bidi="ar-SA"/>
              </w:rPr>
            </w:pPr>
            <w:r>
              <w:rPr>
                <w:rFonts w:hint="eastAsia" w:ascii="宋体" w:hAnsi="宋体" w:eastAsia="宋体" w:cs="宋体"/>
                <w:b w:val="0"/>
                <w:bCs w:val="0"/>
                <w:sz w:val="21"/>
                <w:szCs w:val="21"/>
                <w:vertAlign w:val="baseline"/>
                <w:lang w:val="en-US" w:eastAsia="zh-CN"/>
              </w:rPr>
              <w:t>学员参与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trPr>
        <w:tc>
          <w:tcPr>
            <w:tcW w:w="72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val="0"/>
                <w:bCs w:val="0"/>
                <w:sz w:val="24"/>
                <w:szCs w:val="24"/>
                <w:vertAlign w:val="baseline"/>
                <w:lang w:val="en-US" w:eastAsia="zh-CN"/>
              </w:rPr>
            </w:pPr>
            <w:r>
              <w:rPr>
                <w:rFonts w:hint="eastAsia" w:ascii="宋体" w:hAnsi="宋体" w:eastAsia="宋体" w:cs="宋体"/>
                <w:b w:val="0"/>
                <w:bCs w:val="0"/>
                <w:sz w:val="24"/>
                <w:szCs w:val="24"/>
                <w:vertAlign w:val="baseline"/>
                <w:lang w:val="en-US" w:eastAsia="zh-CN"/>
              </w:rPr>
              <w:t>11</w:t>
            </w:r>
          </w:p>
        </w:tc>
        <w:tc>
          <w:tcPr>
            <w:tcW w:w="8674"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b w:val="0"/>
                <w:bCs w:val="0"/>
                <w:sz w:val="24"/>
                <w:szCs w:val="24"/>
                <w:vertAlign w:val="baseline"/>
                <w:lang w:val="en-US" w:eastAsia="zh-CN"/>
              </w:rPr>
            </w:pPr>
            <w:r>
              <w:rPr>
                <w:rFonts w:hint="eastAsia" w:ascii="宋体" w:hAnsi="宋体" w:eastAsia="宋体" w:cs="宋体"/>
                <w:b w:val="0"/>
                <w:bCs w:val="0"/>
                <w:sz w:val="21"/>
                <w:szCs w:val="21"/>
                <w:vertAlign w:val="baseline"/>
                <w:lang w:val="en-US" w:eastAsia="zh-CN"/>
              </w:rPr>
              <w:t>补充：6月15日17:30前可到清远职业技术学院培训公寓办理入住（联系人：陈慧玲 13653000186），培训报到时间参照上表，6月16、17日课程期间安排茶歇、用餐方式采用自助或围餐方式进行。</w:t>
            </w:r>
          </w:p>
        </w:tc>
      </w:tr>
    </w:tbl>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b/>
          <w:bCs/>
          <w:spacing w:val="17"/>
          <w:sz w:val="28"/>
          <w:szCs w:val="28"/>
          <w:lang w:val="en-US" w:eastAsia="zh-CN"/>
        </w:rPr>
      </w:pPr>
      <w:r>
        <w:rPr>
          <w:rFonts w:hint="eastAsia" w:ascii="宋体" w:hAnsi="宋体" w:cs="宋体"/>
          <w:b/>
          <w:bCs/>
          <w:spacing w:val="17"/>
          <w:sz w:val="28"/>
          <w:szCs w:val="28"/>
          <w:lang w:val="en-US" w:eastAsia="zh-CN"/>
        </w:rPr>
        <w:t>五</w:t>
      </w:r>
      <w:r>
        <w:rPr>
          <w:rFonts w:hint="eastAsia" w:ascii="宋体" w:hAnsi="宋体" w:eastAsia="宋体" w:cs="宋体"/>
          <w:b/>
          <w:bCs/>
          <w:spacing w:val="17"/>
          <w:sz w:val="28"/>
          <w:szCs w:val="28"/>
          <w:lang w:val="en-US" w:eastAsia="zh-CN"/>
        </w:rPr>
        <w:t>、课程配置</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1.中国宏观经济形势“专精特新”战略与中小企业策略应对</w:t>
      </w:r>
    </w:p>
    <w:tbl>
      <w:tblPr>
        <w:tblStyle w:val="5"/>
        <w:tblW w:w="9282" w:type="dxa"/>
        <w:tblInd w:w="12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02"/>
        <w:gridCol w:w="58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rPr>
        <w:tc>
          <w:tcPr>
            <w:tcW w:w="3402" w:type="dxa"/>
            <w:noWrap w:val="0"/>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课程主题</w:t>
            </w:r>
          </w:p>
        </w:tc>
        <w:tc>
          <w:tcPr>
            <w:tcW w:w="5880" w:type="dxa"/>
            <w:noWrap w:val="0"/>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课程大纲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1" w:hRule="atLeast"/>
        </w:trPr>
        <w:tc>
          <w:tcPr>
            <w:tcW w:w="3402" w:type="dxa"/>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kern w:val="2"/>
                <w:sz w:val="24"/>
                <w:szCs w:val="24"/>
                <w:vertAlign w:val="baseline"/>
                <w:lang w:val="en-US" w:eastAsia="zh-CN" w:bidi="ar-SA"/>
              </w:rPr>
            </w:pPr>
            <w:r>
              <w:rPr>
                <w:rFonts w:hint="eastAsia" w:ascii="宋体" w:hAnsi="宋体" w:eastAsia="宋体" w:cs="宋体"/>
                <w:b/>
                <w:bCs/>
                <w:sz w:val="24"/>
                <w:szCs w:val="24"/>
                <w:vertAlign w:val="baseline"/>
                <w:lang w:val="en-US" w:eastAsia="zh-CN"/>
              </w:rPr>
              <w:t>《中国宏观经济形势“专精特新”战略与中小企业策略应对》</w:t>
            </w:r>
          </w:p>
        </w:tc>
        <w:tc>
          <w:tcPr>
            <w:tcW w:w="5880" w:type="dxa"/>
            <w:noWrap w:val="0"/>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1.大国洪流：中国经济高质量发展动力与双循环路径</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2.工业强国：中国制造2025与智能化产业化集群制造</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3.春满大地：“专精特新”赋能中小型综合性平台企业</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left"/>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4.定见辉煌：制造企业战略重塑与全面核心竞争力培育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2" w:hRule="atLeast"/>
        </w:trPr>
        <w:tc>
          <w:tcPr>
            <w:tcW w:w="9282" w:type="dxa"/>
            <w:gridSpan w:val="2"/>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left"/>
              <w:textAlignment w:val="auto"/>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 xml:space="preserve">主讲嘉宾：黎利权 高级讲师 </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毕业于中南财经大学，财政专业，职务职称：经济贸易学院院长、财政高级讲师。</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担任课程：政府会计、Excel高级应用、财政基础知识、行政事业财务、国家预算、预算会计、会计电算化、计算机基础、数据库、VB编程、商务管理软件、商品流通企业购销实务等。</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left"/>
              <w:textAlignment w:val="auto"/>
              <w:rPr>
                <w:rFonts w:hint="eastAsia" w:ascii="宋体" w:hAnsi="宋体" w:eastAsia="宋体" w:cs="宋体"/>
                <w:color w:val="000000"/>
                <w:kern w:val="2"/>
                <w:sz w:val="24"/>
                <w:szCs w:val="24"/>
                <w:lang w:val="en-US" w:eastAsia="zh-CN" w:bidi="ar-SA"/>
              </w:rPr>
            </w:pPr>
            <w:r>
              <w:rPr>
                <w:rFonts w:hint="eastAsia" w:ascii="宋体" w:hAnsi="宋体" w:eastAsia="宋体" w:cs="宋体"/>
                <w:sz w:val="24"/>
                <w:szCs w:val="24"/>
                <w:lang w:val="en-US" w:eastAsia="zh-CN"/>
              </w:rPr>
              <w:t>社会任职：全国预算与会计研究会常务理事，《预算管理与会计》杂志特约作者，广东省预算会计研究会常务副会长，广东省财政学会理事。</w:t>
            </w:r>
          </w:p>
        </w:tc>
      </w:tr>
    </w:tbl>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2.全球视角下“四新一高”——新变局、新形态、新经济、新模式与高质量</w:t>
      </w:r>
    </w:p>
    <w:tbl>
      <w:tblPr>
        <w:tblStyle w:val="5"/>
        <w:tblW w:w="9282" w:type="dxa"/>
        <w:tblInd w:w="12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87"/>
        <w:gridCol w:w="58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trPr>
        <w:tc>
          <w:tcPr>
            <w:tcW w:w="3387" w:type="dxa"/>
            <w:noWrap w:val="0"/>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课程主题</w:t>
            </w:r>
          </w:p>
        </w:tc>
        <w:tc>
          <w:tcPr>
            <w:tcW w:w="5895" w:type="dxa"/>
            <w:noWrap w:val="0"/>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课程大纲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387" w:type="dxa"/>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left"/>
              <w:textAlignment w:val="auto"/>
              <w:rPr>
                <w:rFonts w:hint="eastAsia" w:ascii="宋体" w:hAnsi="宋体" w:eastAsia="宋体" w:cs="宋体"/>
                <w:kern w:val="2"/>
                <w:sz w:val="21"/>
                <w:szCs w:val="21"/>
                <w:vertAlign w:val="baseline"/>
                <w:lang w:val="en-US" w:eastAsia="zh-CN" w:bidi="ar-SA"/>
              </w:rPr>
            </w:pPr>
            <w:r>
              <w:rPr>
                <w:rFonts w:hint="eastAsia" w:ascii="宋体" w:hAnsi="宋体" w:eastAsia="宋体" w:cs="宋体"/>
                <w:b/>
                <w:bCs/>
                <w:sz w:val="24"/>
                <w:szCs w:val="24"/>
                <w:vertAlign w:val="baseline"/>
                <w:lang w:val="en-US" w:eastAsia="zh-CN"/>
              </w:rPr>
              <w:t>《全球视角下“四新一高”——新变局、新形态、新经济、新模式与高质量》</w:t>
            </w:r>
          </w:p>
        </w:tc>
        <w:tc>
          <w:tcPr>
            <w:tcW w:w="5895" w:type="dxa"/>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1.解读“四新一高”系统框架内容和精髓</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2.剖析“四新一高”新理念新任务新特征</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3.剖析高质量发展理念路径模式框架体系</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left"/>
              <w:textAlignment w:val="auto"/>
              <w:rPr>
                <w:rFonts w:hint="eastAsia" w:ascii="宋体" w:hAnsi="宋体" w:eastAsia="宋体" w:cs="宋体"/>
                <w:kern w:val="2"/>
                <w:sz w:val="21"/>
                <w:szCs w:val="21"/>
                <w:vertAlign w:val="baseline"/>
                <w:lang w:val="en-US" w:eastAsia="zh-CN" w:bidi="ar-SA"/>
              </w:rPr>
            </w:pPr>
            <w:r>
              <w:rPr>
                <w:rFonts w:hint="eastAsia" w:ascii="宋体" w:hAnsi="宋体" w:eastAsia="宋体" w:cs="宋体"/>
                <w:sz w:val="24"/>
                <w:szCs w:val="24"/>
                <w:lang w:val="en-US" w:eastAsia="zh-CN"/>
              </w:rPr>
              <w:t>4.分析企业实现高质量发展的举措与路径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0" w:hRule="atLeast"/>
        </w:trPr>
        <w:tc>
          <w:tcPr>
            <w:tcW w:w="9282" w:type="dxa"/>
            <w:gridSpan w:val="2"/>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400" w:lineRule="exact"/>
              <w:jc w:val="both"/>
              <w:textAlignment w:val="auto"/>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主讲嘉宾：徐吉祥  博士，副教授</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lang w:val="en-US" w:eastAsia="zh-CN"/>
              </w:rPr>
            </w:pPr>
            <w:r>
              <w:rPr>
                <w:rFonts w:hint="eastAsia" w:ascii="宋体" w:hAnsi="宋体" w:eastAsia="宋体" w:cs="宋体"/>
                <w:sz w:val="21"/>
                <w:szCs w:val="21"/>
                <w:vertAlign w:val="baseline"/>
                <w:lang w:val="en-US" w:eastAsia="zh-CN"/>
              </w:rPr>
              <w:t xml:space="preserve">     </w:t>
            </w:r>
            <w:r>
              <w:rPr>
                <w:rFonts w:hint="eastAsia" w:ascii="宋体" w:hAnsi="宋体" w:eastAsia="宋体" w:cs="宋体"/>
                <w:sz w:val="24"/>
                <w:szCs w:val="24"/>
                <w:lang w:val="en-US" w:eastAsia="zh-CN"/>
              </w:rPr>
              <w:t>高级经济师、广东省高等职业教育专业领军人才、广东省高等教育“千百十”人才工程培养对象，广东省食品生物技术专业优秀教学团队带头人，广东省高职高专教育食品类专业教学指导委员会委员，食品生产许可证国家注册审查员，清远市教书育人“优秀教师”，“教学名师”、教务科研处副处长、示范办副主任，2011年在台湾研修半年。2020年获华南农业大学食品科学博士学位。</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历任清职院食品药品学院实训中心主任、清职院食品药品学院副院长。</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left"/>
              <w:textAlignment w:val="auto"/>
              <w:rPr>
                <w:rFonts w:hint="eastAsia" w:ascii="宋体" w:hAnsi="宋体" w:eastAsia="宋体" w:cs="宋体"/>
                <w:kern w:val="2"/>
                <w:sz w:val="21"/>
                <w:szCs w:val="21"/>
                <w:vertAlign w:val="baseline"/>
                <w:lang w:val="en-US" w:eastAsia="zh-CN" w:bidi="ar-SA"/>
              </w:rPr>
            </w:pPr>
            <w:r>
              <w:rPr>
                <w:rFonts w:hint="eastAsia" w:ascii="宋体" w:hAnsi="宋体" w:eastAsia="宋体" w:cs="宋体"/>
                <w:sz w:val="24"/>
                <w:szCs w:val="24"/>
                <w:lang w:val="en-US" w:eastAsia="zh-CN"/>
              </w:rPr>
              <w:t>深入研究农业、工业经济发展战略规划与设计，重点研究市场经济高质量发展，谋变局、塑形态、活经济、建模式等范围。</w:t>
            </w:r>
          </w:p>
        </w:tc>
      </w:tr>
    </w:tbl>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3.中国“双碳”与数字经济背景下新基建发展与机遇</w:t>
      </w:r>
    </w:p>
    <w:tbl>
      <w:tblPr>
        <w:tblStyle w:val="5"/>
        <w:tblW w:w="9267" w:type="dxa"/>
        <w:tblInd w:w="12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32"/>
        <w:gridCol w:w="58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3432" w:type="dxa"/>
            <w:noWrap w:val="0"/>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课程主题</w:t>
            </w:r>
          </w:p>
        </w:tc>
        <w:tc>
          <w:tcPr>
            <w:tcW w:w="5835" w:type="dxa"/>
            <w:noWrap w:val="0"/>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课程大纲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1" w:hRule="atLeast"/>
        </w:trPr>
        <w:tc>
          <w:tcPr>
            <w:tcW w:w="3432" w:type="dxa"/>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kern w:val="2"/>
                <w:sz w:val="21"/>
                <w:szCs w:val="21"/>
                <w:vertAlign w:val="baseline"/>
                <w:lang w:val="en-US" w:eastAsia="zh-CN" w:bidi="ar-SA"/>
              </w:rPr>
            </w:pPr>
            <w:r>
              <w:rPr>
                <w:rFonts w:hint="eastAsia" w:ascii="宋体" w:hAnsi="宋体" w:eastAsia="宋体" w:cs="宋体"/>
                <w:b/>
                <w:bCs/>
                <w:sz w:val="24"/>
                <w:szCs w:val="24"/>
                <w:vertAlign w:val="baseline"/>
                <w:lang w:val="en-US" w:eastAsia="zh-CN"/>
              </w:rPr>
              <w:t>《中国“双碳”与数字经济背景下新基建发展与机遇》</w:t>
            </w:r>
          </w:p>
        </w:tc>
        <w:tc>
          <w:tcPr>
            <w:tcW w:w="5835" w:type="dxa"/>
            <w:noWrap w:val="0"/>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1.中国“双碳”：引领从碳基到硅基的全球新能源革命</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2.万亿蛋糕：“十四五”数字经济发展规划及政策解读</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3.经济数字化：实体经济与数字经济融合创新发展之道</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left"/>
              <w:textAlignment w:val="auto"/>
              <w:rPr>
                <w:rFonts w:hint="eastAsia" w:ascii="宋体" w:hAnsi="宋体" w:eastAsia="宋体" w:cs="宋体"/>
                <w:kern w:val="2"/>
                <w:sz w:val="21"/>
                <w:szCs w:val="21"/>
                <w:vertAlign w:val="baseline"/>
                <w:lang w:val="en-US" w:eastAsia="zh-CN" w:bidi="ar-SA"/>
              </w:rPr>
            </w:pPr>
            <w:r>
              <w:rPr>
                <w:rFonts w:hint="eastAsia" w:ascii="宋体" w:hAnsi="宋体" w:eastAsia="宋体" w:cs="宋体"/>
                <w:sz w:val="24"/>
                <w:szCs w:val="24"/>
                <w:lang w:val="en-US" w:eastAsia="zh-CN"/>
              </w:rPr>
              <w:t>4.新基建的定义与技术支撑及系统领域发展的机遇把握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9267" w:type="dxa"/>
            <w:gridSpan w:val="2"/>
            <w:noWrap w:val="0"/>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left"/>
              <w:textAlignment w:val="auto"/>
              <w:rPr>
                <w:rFonts w:hint="eastAsia" w:ascii="宋体" w:hAnsi="宋体" w:eastAsia="宋体" w:cs="宋体"/>
                <w:sz w:val="24"/>
                <w:szCs w:val="24"/>
                <w:lang w:eastAsia="zh-CN"/>
              </w:rPr>
            </w:pPr>
            <w:r>
              <w:rPr>
                <w:rFonts w:hint="eastAsia" w:ascii="宋体" w:hAnsi="宋体" w:eastAsia="宋体" w:cs="宋体"/>
                <w:b/>
                <w:bCs/>
                <w:sz w:val="24"/>
                <w:szCs w:val="24"/>
                <w:vertAlign w:val="baseline"/>
                <w:lang w:val="en-US" w:eastAsia="zh-CN"/>
              </w:rPr>
              <w:t xml:space="preserve">主讲嘉宾：熊  飞  </w:t>
            </w:r>
            <w:r>
              <w:rPr>
                <w:rFonts w:hint="eastAsia" w:ascii="宋体" w:hAnsi="宋体" w:eastAsia="宋体" w:cs="宋体"/>
                <w:sz w:val="24"/>
                <w:szCs w:val="24"/>
                <w:lang w:eastAsia="zh-CN"/>
              </w:rPr>
              <w:t>副教授、高级经济师</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财务硕士生，先后任广东省农业管理干部学院、广东科贸职业学院财务处处长、党办主任、院办主任、党委宣传部部长、监察审计处处长；党委委员、科技处（发展规划处）处长。</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lef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lang w:val="en-US" w:eastAsia="zh-CN"/>
              </w:rPr>
              <w:t>2021年9月起任广东财贸职业学院党委委员、副院长。曾主持厅级以上课题6项，在《会计之友》、《职教论坛》等刊物发表论文10多篇。主要研究方向为职业教育、财务与审计、乡村振兴、数字经济研究等。</w:t>
            </w:r>
          </w:p>
        </w:tc>
      </w:tr>
    </w:tbl>
    <w:p>
      <w:pPr>
        <w:keepNext w:val="0"/>
        <w:keepLines w:val="0"/>
        <w:pageBreakBefore w:val="0"/>
        <w:widowControl w:val="0"/>
        <w:kinsoku/>
        <w:wordWrap/>
        <w:overflowPunct/>
        <w:topLinePunct w:val="0"/>
        <w:autoSpaceDE/>
        <w:autoSpaceDN/>
        <w:bidi w:val="0"/>
        <w:adjustRightInd/>
        <w:snapToGrid/>
        <w:spacing w:line="700" w:lineRule="exact"/>
        <w:textAlignment w:val="auto"/>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4.“一带一路”引领下企业发展战略解码与增量系统建设</w:t>
      </w:r>
    </w:p>
    <w:tbl>
      <w:tblPr>
        <w:tblStyle w:val="5"/>
        <w:tblW w:w="9267" w:type="dxa"/>
        <w:tblInd w:w="12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47"/>
        <w:gridCol w:w="58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trPr>
        <w:tc>
          <w:tcPr>
            <w:tcW w:w="3447" w:type="dxa"/>
            <w:noWrap w:val="0"/>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课程主题</w:t>
            </w:r>
          </w:p>
        </w:tc>
        <w:tc>
          <w:tcPr>
            <w:tcW w:w="5820" w:type="dxa"/>
            <w:noWrap w:val="0"/>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课程大纲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3" w:hRule="atLeast"/>
        </w:trPr>
        <w:tc>
          <w:tcPr>
            <w:tcW w:w="3447" w:type="dxa"/>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kern w:val="2"/>
                <w:sz w:val="21"/>
                <w:szCs w:val="21"/>
                <w:vertAlign w:val="baseline"/>
                <w:lang w:val="en-US" w:eastAsia="zh-CN" w:bidi="ar-SA"/>
              </w:rPr>
            </w:pPr>
            <w:r>
              <w:rPr>
                <w:rFonts w:hint="eastAsia" w:ascii="宋体" w:hAnsi="宋体" w:eastAsia="宋体" w:cs="宋体"/>
                <w:b/>
                <w:bCs/>
                <w:sz w:val="24"/>
                <w:szCs w:val="24"/>
                <w:vertAlign w:val="baseline"/>
                <w:lang w:val="en-US" w:eastAsia="zh-CN"/>
              </w:rPr>
              <w:t>《“一带一路”引领下企业发展战略解码与增量系统建设》</w:t>
            </w:r>
          </w:p>
        </w:tc>
        <w:tc>
          <w:tcPr>
            <w:tcW w:w="5820" w:type="dxa"/>
            <w:noWrap w:val="0"/>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460" w:lineRule="exact"/>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1.建设“一带一路”的四“行”模式，实现共赢经济发展</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2.塑造“一带一路”开放合作新亮点，构建融合发展体系</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3.市场超常规/增量危机突围、制造增效降低成本突破盈利</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jc w:val="left"/>
              <w:textAlignment w:val="auto"/>
              <w:rPr>
                <w:rFonts w:hint="eastAsia" w:ascii="宋体" w:hAnsi="宋体" w:eastAsia="宋体" w:cs="宋体"/>
                <w:kern w:val="2"/>
                <w:sz w:val="21"/>
                <w:szCs w:val="21"/>
                <w:vertAlign w:val="baseline"/>
                <w:lang w:val="en-US" w:eastAsia="zh-CN" w:bidi="ar-SA"/>
              </w:rPr>
            </w:pPr>
            <w:r>
              <w:rPr>
                <w:rFonts w:hint="eastAsia" w:ascii="宋体" w:hAnsi="宋体" w:eastAsia="宋体" w:cs="宋体"/>
                <w:sz w:val="21"/>
                <w:szCs w:val="21"/>
                <w:lang w:val="en-US" w:eastAsia="zh-CN"/>
              </w:rPr>
              <w:t>4.技术开源迭代突破用户需求/组织利益分配改变管理成本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6" w:hRule="atLeast"/>
        </w:trPr>
        <w:tc>
          <w:tcPr>
            <w:tcW w:w="9267" w:type="dxa"/>
            <w:gridSpan w:val="2"/>
            <w:noWrap w:val="0"/>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宋体" w:hAnsi="宋体" w:eastAsia="宋体" w:cs="宋体"/>
                <w:b/>
                <w:bCs/>
                <w:sz w:val="24"/>
                <w:szCs w:val="24"/>
                <w:vertAlign w:val="baseline"/>
                <w:lang w:val="en-US" w:eastAsia="zh-CN"/>
              </w:rPr>
            </w:pPr>
            <w:r>
              <w:rPr>
                <w:rFonts w:hint="eastAsia" w:ascii="宋体" w:hAnsi="宋体" w:eastAsia="宋体" w:cs="宋体"/>
                <w:b/>
                <w:bCs/>
                <w:sz w:val="24"/>
                <w:szCs w:val="24"/>
                <w:vertAlign w:val="baseline"/>
                <w:lang w:val="en-US" w:eastAsia="zh-CN"/>
              </w:rPr>
              <w:t>主讲嘉宾： 谢文鸿  高级讲师 客座教授</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高级企业管理咨询/培训讲师，中级职称，战略、顶层设计及人力资源管理专家；十八年上市公司和集团高层管理经验，具上市公司CHO兼企业大学校长、百亿集团运营副总裁、成长型企业CEO的三重历练，曾帮助所服务的企业主板上市，特聘于中山大学、华师等管理学院MBA班客座教授；成功组建两家上市公司的企业大学，主导两家百亿企业落地《增量绩效盈利系统》，助力企业成功实现转型升级，广州市企业管理服务协会执行会长、粤港澳青创湾创业导师。</w:t>
            </w:r>
          </w:p>
        </w:tc>
      </w:tr>
    </w:tbl>
    <w:p>
      <w:pPr>
        <w:pStyle w:val="12"/>
        <w:keepNext w:val="0"/>
        <w:keepLines w:val="0"/>
        <w:pageBreakBefore w:val="0"/>
        <w:widowControl w:val="0"/>
        <w:kinsoku/>
        <w:wordWrap/>
        <w:overflowPunct/>
        <w:topLinePunct w:val="0"/>
        <w:autoSpaceDN/>
        <w:bidi w:val="0"/>
        <w:adjustRightInd/>
        <w:snapToGrid/>
        <w:spacing w:before="0" w:beforeLines="0" w:after="0" w:afterLines="0" w:line="560" w:lineRule="exact"/>
        <w:ind w:left="0" w:leftChars="0" w:right="0" w:rightChars="0" w:firstLine="0" w:firstLineChars="0"/>
        <w:jc w:val="center"/>
        <w:textAlignment w:val="auto"/>
        <w:rPr>
          <w:rFonts w:hint="eastAsia" w:ascii="宋体" w:hAnsi="宋体" w:eastAsia="宋体" w:cs="宋体"/>
          <w:color w:val="000000"/>
          <w:sz w:val="32"/>
          <w:szCs w:val="32"/>
        </w:rPr>
      </w:pPr>
    </w:p>
    <w:p>
      <w:pPr>
        <w:bidi w:val="0"/>
        <w:rPr>
          <w:rFonts w:hint="eastAsia"/>
        </w:rPr>
      </w:pPr>
    </w:p>
    <w:p>
      <w:pPr>
        <w:bidi w:val="0"/>
        <w:rPr>
          <w:rFonts w:hint="eastAsia"/>
        </w:rPr>
      </w:pPr>
    </w:p>
    <w:p>
      <w:pPr>
        <w:pStyle w:val="2"/>
        <w:ind w:left="0" w:leftChars="0" w:firstLine="0" w:firstLineChars="0"/>
        <w:rPr>
          <w:rFonts w:hint="eastAsia"/>
          <w:lang w:eastAsia="zh-CN"/>
        </w:rPr>
      </w:pPr>
      <w:bookmarkStart w:id="0" w:name="_GoBack"/>
      <w:bookmarkEnd w:id="0"/>
    </w:p>
    <w:sectPr>
      <w:footerReference r:id="rId3" w:type="default"/>
      <w:pgSz w:w="11907" w:h="16840"/>
      <w:pgMar w:top="1984" w:right="1474" w:bottom="1701" w:left="1587" w:header="851" w:footer="850" w:gutter="0"/>
      <w:pgNumType w:fmt="decimal" w:start="1"/>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2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etween w:val="none" w:color="auto" w:sz="0" w:space="0"/>
      </w:pBdr>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t xml:space="preserve">— </w:t>
                          </w:r>
                          <w:r>
                            <w:fldChar w:fldCharType="begin"/>
                          </w:r>
                          <w:r>
                            <w:instrText xml:space="preserve"> PAGE  \* MERGEFORMAT </w:instrText>
                          </w:r>
                          <w:r>
                            <w:fldChar w:fldCharType="separate"/>
                          </w:r>
                          <w:r>
                            <w:t>1</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3"/>
                    </w:pPr>
                    <w:r>
                      <w:t xml:space="preserve">— </w:t>
                    </w:r>
                    <w:r>
                      <w:fldChar w:fldCharType="begin"/>
                    </w:r>
                    <w:r>
                      <w:instrText xml:space="preserve"> PAGE  \* MERGEFORMAT </w:instrText>
                    </w:r>
                    <w:r>
                      <w:fldChar w:fldCharType="separate"/>
                    </w:r>
                    <w:r>
                      <w:t>1</w:t>
                    </w:r>
                    <w:r>
                      <w:fldChar w:fldCharType="end"/>
                    </w:r>
                    <w:r>
                      <w:t xml:space="preserve"> —</w:t>
                    </w:r>
                  </w:p>
                </w:txbxContent>
              </v:textbox>
            </v:shape>
          </w:pict>
        </mc:Fallback>
      </mc:AlternateContent>
    </w:r>
  </w:p>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NjOGJkNzQwNjY4YzQ1NTVmMTAzNDEwYTIyNzI4YzIifQ=="/>
  </w:docVars>
  <w:rsids>
    <w:rsidRoot w:val="4AEE2F2C"/>
    <w:rsid w:val="004C6C98"/>
    <w:rsid w:val="08D342B5"/>
    <w:rsid w:val="13FF55AF"/>
    <w:rsid w:val="14431291"/>
    <w:rsid w:val="1804698E"/>
    <w:rsid w:val="1C5B138F"/>
    <w:rsid w:val="26427B08"/>
    <w:rsid w:val="30BB767C"/>
    <w:rsid w:val="35A15EAA"/>
    <w:rsid w:val="38E4377B"/>
    <w:rsid w:val="41F54D27"/>
    <w:rsid w:val="4AEE2F2C"/>
    <w:rsid w:val="549A431F"/>
    <w:rsid w:val="59934278"/>
    <w:rsid w:val="5E5FA451"/>
    <w:rsid w:val="63185211"/>
    <w:rsid w:val="6CEC5EC1"/>
    <w:rsid w:val="7075672D"/>
    <w:rsid w:val="773A0865"/>
    <w:rsid w:val="77D02E8C"/>
    <w:rsid w:val="79B44A6B"/>
    <w:rsid w:val="79FDA19C"/>
    <w:rsid w:val="7AF655F2"/>
    <w:rsid w:val="EFB5A9D1"/>
    <w:rsid w:val="EFBEA6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pPr>
    <w:rPr>
      <w:rFonts w:eastAsia="宋体"/>
      <w:kern w:val="2"/>
      <w:sz w:val="21"/>
      <w:szCs w:val="24"/>
      <w:lang w:val="en-US" w:eastAsia="zh-CN" w:bidi="ar-SA"/>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 w:type="paragraph" w:customStyle="1" w:styleId="7">
    <w:name w:val="正文 New New New New New New New"/>
    <w:qFormat/>
    <w:uiPriority w:val="0"/>
    <w:pPr>
      <w:widowControl w:val="0"/>
      <w:jc w:val="both"/>
    </w:pPr>
    <w:rPr>
      <w:rFonts w:ascii="Times New Roman" w:hAnsi="Times New Roman" w:eastAsia="宋体" w:cstheme="minorBidi"/>
      <w:kern w:val="2"/>
      <w:sz w:val="21"/>
      <w:lang w:val="en-US" w:eastAsia="zh-CN"/>
    </w:rPr>
  </w:style>
  <w:style w:type="paragraph" w:customStyle="1" w:styleId="8">
    <w:name w:val="Normal"/>
    <w:qFormat/>
    <w:uiPriority w:val="0"/>
    <w:pPr>
      <w:jc w:val="both"/>
    </w:pPr>
    <w:rPr>
      <w:rFonts w:ascii="Times New Roman" w:hAnsi="Times New Roman" w:eastAsia="宋体" w:cstheme="minorBidi"/>
      <w:kern w:val="2"/>
      <w:sz w:val="21"/>
    </w:rPr>
  </w:style>
  <w:style w:type="paragraph" w:customStyle="1" w:styleId="9">
    <w:name w:val="正文 New New New New New New New New New New New New New New New New New New New New New New New New New New New New New New New New New New New New New New New New New New New"/>
    <w:qFormat/>
    <w:uiPriority w:val="0"/>
    <w:pPr>
      <w:widowControl w:val="0"/>
      <w:jc w:val="both"/>
    </w:pPr>
    <w:rPr>
      <w:rFonts w:ascii="Times New Roman" w:hAnsi="Times New Roman" w:eastAsia="仿宋_GB2312" w:cs="Times New Roman"/>
      <w:kern w:val="2"/>
      <w:sz w:val="32"/>
      <w:szCs w:val="24"/>
      <w:lang w:val="en-US" w:eastAsia="zh-CN"/>
    </w:rPr>
  </w:style>
  <w:style w:type="paragraph" w:customStyle="1" w:styleId="10">
    <w:name w:val="正文 New New New New New New"/>
    <w:qFormat/>
    <w:uiPriority w:val="0"/>
    <w:pPr>
      <w:widowControl w:val="0"/>
      <w:jc w:val="both"/>
    </w:pPr>
    <w:rPr>
      <w:rFonts w:ascii="Times New Roman" w:hAnsi="Times New Roman" w:eastAsia="宋体" w:cstheme="minorBidi"/>
      <w:kern w:val="2"/>
      <w:sz w:val="21"/>
      <w:lang w:val="en-US" w:eastAsia="zh-CN"/>
    </w:rPr>
  </w:style>
  <w:style w:type="paragraph" w:customStyle="1" w:styleId="11">
    <w:name w:val="正文 New New New New New New New New New New New"/>
    <w:next w:val="12"/>
    <w:qFormat/>
    <w:uiPriority w:val="0"/>
    <w:pPr>
      <w:widowControl w:val="0"/>
      <w:jc w:val="both"/>
    </w:pPr>
    <w:rPr>
      <w:rFonts w:ascii="Times New Roman" w:hAnsi="Times New Roman" w:eastAsia="宋体" w:cstheme="minorBidi"/>
      <w:kern w:val="2"/>
      <w:sz w:val="21"/>
      <w:lang w:val="en-US" w:eastAsia="zh-CN"/>
    </w:rPr>
  </w:style>
  <w:style w:type="paragraph" w:customStyle="1" w:styleId="12">
    <w:name w:val="Normal Indent"/>
    <w:basedOn w:val="13"/>
    <w:qFormat/>
    <w:uiPriority w:val="0"/>
    <w:pPr>
      <w:ind w:firstLine="420"/>
    </w:pPr>
    <w:rPr>
      <w:rFonts w:eastAsia="宋体"/>
      <w:kern w:val="2"/>
      <w:sz w:val="21"/>
      <w:szCs w:val="24"/>
      <w:lang w:val="en-US" w:eastAsia="zh-CN"/>
    </w:rPr>
  </w:style>
  <w:style w:type="paragraph" w:customStyle="1" w:styleId="13">
    <w:name w:val="正文 New New New New New New New New New New New New"/>
    <w:next w:val="12"/>
    <w:qFormat/>
    <w:uiPriority w:val="0"/>
    <w:pPr>
      <w:widowControl w:val="0"/>
      <w:jc w:val="both"/>
    </w:pPr>
    <w:rPr>
      <w:rFonts w:ascii="Calibri" w:hAnsi="Calibri" w:eastAsia="宋体" w:cs="黑体"/>
      <w:kern w:val="2"/>
      <w:sz w:val="21"/>
      <w:szCs w:val="24"/>
      <w:lang w:val="en-US" w:eastAsia="zh-CN"/>
    </w:rPr>
  </w:style>
  <w:style w:type="paragraph" w:customStyle="1" w:styleId="14">
    <w:name w:val="正文 New New New New New New New New New New New New New New"/>
    <w:next w:val="12"/>
    <w:qFormat/>
    <w:uiPriority w:val="0"/>
    <w:pPr>
      <w:widowControl w:val="0"/>
      <w:jc w:val="both"/>
    </w:pPr>
    <w:rPr>
      <w:rFonts w:ascii="Times New Roman" w:hAnsi="Times New Roman" w:eastAsia="宋体" w:cs="Times New Roman"/>
      <w:kern w:val="2"/>
      <w:sz w:val="21"/>
      <w:szCs w:val="21"/>
      <w:lang w:val="en-US" w:eastAsia="zh-CN"/>
    </w:rPr>
  </w:style>
  <w:style w:type="paragraph" w:customStyle="1" w:styleId="15">
    <w:name w:val="正文 New New New New New New New New New New New New New"/>
    <w:next w:val="12"/>
    <w:qFormat/>
    <w:uiPriority w:val="0"/>
    <w:pPr>
      <w:widowControl w:val="0"/>
      <w:jc w:val="both"/>
    </w:pPr>
    <w:rPr>
      <w:rFonts w:ascii="Times New Roman" w:hAnsi="Times New Roman" w:eastAsia="宋体" w:cs="Times New Roman"/>
      <w:kern w:val="2"/>
      <w:sz w:val="21"/>
      <w:szCs w:val="21"/>
      <w:lang w:val="en-US" w:eastAsia="zh-C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3663</Words>
  <Characters>3941</Characters>
  <Lines>0</Lines>
  <Paragraphs>0</Paragraphs>
  <TotalTime>10</TotalTime>
  <ScaleCrop>false</ScaleCrop>
  <LinksUpToDate>false</LinksUpToDate>
  <CharactersWithSpaces>4081</CharactersWithSpaces>
  <Application>WPS Office_11.8.2.10321_F1E327BC-269C-435d-A152-05C5408002CA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2022-06-06T23:33:00Z</dcterms:created>
  <dc:creator>ling</dc:creator>
  <cp:lastModifiedBy>伍崇智</cp:lastModifiedBy>
  <dcterms:modified xsi:type="dcterms:W3CDTF">2022-06-10T03:37:15Z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2052-11.8.2.10321</vt:lpwstr>
  </property>
  <property fmtid="{D5CDD505-2E9C-101B-9397-08002B2CF9AE}" pid="3" name="ICV">
    <vt:lpwstr>3C38235CBCB6442FBFDB78F680C49256</vt:lpwstr>
  </property>
</Properties>
</file>