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wordWrap w:val="0"/>
        <w:spacing w:before="226" w:beforeAutospacing="0" w:after="226" w:afterAutospacing="0" w:line="480" w:lineRule="atLeast"/>
        <w:ind w:left="76" w:right="0"/>
        <w:jc w:val="center"/>
        <w:rPr>
          <w:rFonts w:hint="eastAsia" w:ascii="楷体" w:hAnsi="楷体" w:eastAsia="楷体" w:cs="楷体"/>
          <w:sz w:val="24"/>
          <w:szCs w:val="24"/>
          <w:u w:val="none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  <w:u w:val="none"/>
          <w:shd w:val="clear" w:fill="FFFFFF"/>
        </w:rPr>
        <w:t>广东省养老机构责任保险统保示范项目费率规章</w:t>
      </w:r>
      <w:bookmarkEnd w:id="0"/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</w:rPr>
        <w:br w:type="textWrapping"/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u w:val="none"/>
          <w:shd w:val="clear" w:fill="FFFFFF"/>
        </w:rPr>
        <w:t>基本险基础保费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  <w:lang w:eastAsia="zh-CN"/>
        </w:rPr>
        <w:t>）</w:t>
      </w:r>
    </w:p>
    <w:tbl>
      <w:tblPr>
        <w:tblW w:w="8521" w:type="dxa"/>
        <w:jc w:val="center"/>
        <w:tblInd w:w="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581"/>
        <w:gridCol w:w="4999"/>
        <w:gridCol w:w="15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u w:val="none"/>
              </w:rPr>
              <w:t>住养老人</w:t>
            </w:r>
          </w:p>
        </w:tc>
        <w:tc>
          <w:tcPr>
            <w:tcW w:w="55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每次事故每位住养老人责任限额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25万元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  <w:jc w:val="center"/>
        </w:trPr>
        <w:tc>
          <w:tcPr>
            <w:tcW w:w="14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每次事故每位住养老人医疗费用责任限额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每次事故每位住养老人残疾辅助器具费限额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0.6万元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每次事故每位住养老人丧葬费限额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1万元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每次事故每位住养老人紧急救援费用限额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0.2万元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每次事故每位住养老人公平原则限额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u w:val="none"/>
              </w:rPr>
              <w:t>第三者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每次事故每位第三者责任限额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50万元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每次事故每位第三者医疗费用责任限额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每次事故每位第三者紧急救援费用限额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0.2万元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u w:val="none"/>
              </w:rPr>
              <w:t>从业人员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每次事故每位从业人员责任限额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50万元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每次事故每位从业人员医疗费用责任限额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每次事故每位从业人员紧急救援费用限额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0.2万元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52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每次事故及累计责任限额：2500万元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8521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每次事故及累计法律费用责任限额：20万元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  <w:jc w:val="center"/>
        </w:trPr>
        <w:tc>
          <w:tcPr>
            <w:tcW w:w="200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u w:val="none"/>
              </w:rPr>
              <w:t>每床保费</w:t>
            </w:r>
          </w:p>
        </w:tc>
        <w:tc>
          <w:tcPr>
            <w:tcW w:w="651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包含从业人员责任保障的，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single"/>
              </w:rPr>
              <w:t xml:space="preserve">　 120 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元/床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不包含从业人员责任保障的，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single"/>
              </w:rPr>
              <w:t xml:space="preserve">　 110 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元/床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200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sz w:val="28"/>
                <w:szCs w:val="28"/>
                <w:u w:val="none"/>
              </w:rPr>
              <w:t>基础保费</w:t>
            </w:r>
          </w:p>
        </w:tc>
        <w:tc>
          <w:tcPr>
            <w:tcW w:w="651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  <w:u w:val="none"/>
              </w:rPr>
              <w:t>每床保费*实际入住床位数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226" w:beforeAutospacing="0" w:after="226" w:afterAutospacing="0" w:line="360" w:lineRule="auto"/>
        <w:ind w:left="76" w:right="0" w:firstLine="560"/>
        <w:jc w:val="left"/>
        <w:rPr>
          <w:rFonts w:hint="eastAsia" w:ascii="楷体" w:hAnsi="楷体" w:eastAsia="楷体" w:cs="楷体"/>
          <w:sz w:val="24"/>
          <w:szCs w:val="24"/>
          <w:u w:val="none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</w:rPr>
        <w:t>注：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  <w:lang w:eastAsia="zh-CN"/>
        </w:rPr>
        <w:t>公办、民办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</w:rPr>
        <w:t>养老机构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  <w:lang w:eastAsia="zh-CN"/>
        </w:rPr>
        <w:t>均按照投保时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shd w:val="clear" w:fill="FFFFFF"/>
        </w:rPr>
        <w:t>实际入住床位数按照投保时实际入住住养老人的床位数确定。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0A48"/>
    <w:rsid w:val="56C00A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2018-02-08T08:39:00Z</dcterms:created>
  <dc:creator>Administrator</dc:creator>
  <cp:lastModifiedBy>Administrator</cp:lastModifiedBy>
  <dcterms:modified xsi:type="dcterms:W3CDTF">2018-02-08T08:45:31Z</dcterms:modified>
  <dc:title>广东省养老机构责任保险统保示范项目费率规章_x000B_（基本险基础保费）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