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660" w:lineRule="exact"/>
        <w:ind w:firstLine="440" w:firstLineChars="100"/>
        <w:jc w:val="center"/>
        <w:textAlignment w:val="auto"/>
        <w:rPr>
          <w:rFonts w:hint="eastAsia" w:ascii="方正小标宋简体" w:hAnsi="方正小标宋简体" w:eastAsia="方正小标宋简体" w:cs="方正小标宋简体"/>
          <w:b w:val="0"/>
          <w:bCs w:val="0"/>
          <w:sz w:val="44"/>
          <w:szCs w:val="44"/>
          <w:u w:val="none" w:color="auto"/>
          <w:lang w:eastAsia="zh-CN"/>
        </w:rPr>
      </w:pPr>
      <w:r>
        <w:rPr>
          <w:rFonts w:hint="eastAsia" w:ascii="方正小标宋简体" w:hAnsi="方正小标宋简体" w:eastAsia="方正小标宋简体" w:cs="方正小标宋简体"/>
          <w:b w:val="0"/>
          <w:bCs w:val="0"/>
          <w:sz w:val="44"/>
          <w:szCs w:val="44"/>
          <w:u w:val="none" w:color="auto"/>
        </w:rPr>
        <w:t>清远市中小微企业</w:t>
      </w:r>
      <w:r>
        <w:rPr>
          <w:rFonts w:hint="eastAsia" w:ascii="方正小标宋简体" w:hAnsi="方正小标宋简体" w:eastAsia="方正小标宋简体" w:cs="方正小标宋简体"/>
          <w:b w:val="0"/>
          <w:bCs w:val="0"/>
          <w:sz w:val="44"/>
          <w:szCs w:val="44"/>
          <w:u w:val="none" w:color="auto"/>
          <w:lang w:eastAsia="zh-CN"/>
        </w:rPr>
        <w:t>应急</w:t>
      </w:r>
      <w:r>
        <w:rPr>
          <w:rFonts w:hint="eastAsia" w:ascii="方正小标宋简体" w:hAnsi="方正小标宋简体" w:eastAsia="方正小标宋简体" w:cs="方正小标宋简体"/>
          <w:b w:val="0"/>
          <w:bCs w:val="0"/>
          <w:sz w:val="44"/>
          <w:szCs w:val="44"/>
          <w:u w:val="none" w:color="auto"/>
        </w:rPr>
        <w:t>转贷(过桥)</w:t>
      </w:r>
      <w:r>
        <w:rPr>
          <w:rFonts w:hint="eastAsia" w:ascii="方正小标宋简体" w:hAnsi="方正小标宋简体" w:eastAsia="方正小标宋简体" w:cs="方正小标宋简体"/>
          <w:b w:val="0"/>
          <w:bCs w:val="0"/>
          <w:sz w:val="44"/>
          <w:szCs w:val="44"/>
          <w:u w:val="none" w:color="auto"/>
          <w:lang w:eastAsia="zh-CN"/>
        </w:rPr>
        <w:t>资金</w:t>
      </w:r>
    </w:p>
    <w:p>
      <w:pPr>
        <w:keepNext w:val="0"/>
        <w:keepLines w:val="0"/>
        <w:pageBreakBefore w:val="0"/>
        <w:widowControl w:val="0"/>
        <w:kinsoku/>
        <w:overflowPunct/>
        <w:topLinePunct w:val="0"/>
        <w:autoSpaceDE/>
        <w:autoSpaceDN/>
        <w:bidi w:val="0"/>
        <w:adjustRightInd/>
        <w:snapToGrid/>
        <w:spacing w:line="660" w:lineRule="exact"/>
        <w:ind w:firstLine="440" w:firstLineChars="100"/>
        <w:jc w:val="center"/>
        <w:textAlignment w:val="auto"/>
        <w:rPr>
          <w:rFonts w:hint="eastAsia" w:ascii="方正小标宋简体" w:hAnsi="方正小标宋简体" w:eastAsia="方正小标宋简体" w:cs="方正小标宋简体"/>
          <w:b w:val="0"/>
          <w:bCs w:val="0"/>
          <w:sz w:val="44"/>
          <w:szCs w:val="44"/>
          <w:u w:val="none" w:color="auto"/>
        </w:rPr>
      </w:pPr>
      <w:r>
        <w:rPr>
          <w:rFonts w:hint="eastAsia" w:ascii="方正小标宋简体" w:hAnsi="方正小标宋简体" w:eastAsia="方正小标宋简体" w:cs="方正小标宋简体"/>
          <w:b w:val="0"/>
          <w:bCs w:val="0"/>
          <w:sz w:val="44"/>
          <w:szCs w:val="44"/>
          <w:u w:val="none" w:color="auto"/>
        </w:rPr>
        <w:t>管理暂行办法</w:t>
      </w:r>
    </w:p>
    <w:p>
      <w:pPr>
        <w:keepNext w:val="0"/>
        <w:keepLines w:val="0"/>
        <w:pageBreakBefore w:val="0"/>
        <w:widowControl w:val="0"/>
        <w:kinsoku/>
        <w:overflowPunct/>
        <w:topLinePunct w:val="0"/>
        <w:autoSpaceDE/>
        <w:autoSpaceDN/>
        <w:bidi w:val="0"/>
        <w:adjustRightInd/>
        <w:snapToGrid/>
        <w:spacing w:line="660" w:lineRule="exact"/>
        <w:ind w:firstLine="280" w:firstLineChars="100"/>
        <w:jc w:val="center"/>
        <w:textAlignment w:val="auto"/>
        <w:rPr>
          <w:rFonts w:hint="eastAsia" w:ascii="楷体" w:hAnsi="楷体" w:eastAsia="楷体" w:cs="楷体"/>
          <w:b w:val="0"/>
          <w:bCs w:val="0"/>
          <w:sz w:val="28"/>
          <w:szCs w:val="28"/>
          <w:u w:val="none" w:color="auto"/>
        </w:rPr>
      </w:pPr>
      <w:r>
        <w:rPr>
          <w:rFonts w:hint="eastAsia" w:ascii="楷体" w:hAnsi="楷体" w:eastAsia="楷体" w:cs="楷体"/>
          <w:b w:val="0"/>
          <w:bCs w:val="0"/>
          <w:sz w:val="28"/>
          <w:szCs w:val="28"/>
          <w:u w:val="none" w:color="auto"/>
          <w:lang w:eastAsia="zh-CN"/>
        </w:rPr>
        <w:t>（</w:t>
      </w:r>
      <w:r>
        <w:rPr>
          <w:rFonts w:hint="eastAsia" w:ascii="楷体" w:hAnsi="楷体" w:eastAsia="楷体" w:cs="楷体"/>
          <w:b w:val="0"/>
          <w:bCs w:val="0"/>
          <w:sz w:val="28"/>
          <w:szCs w:val="28"/>
          <w:u w:val="none" w:color="auto"/>
          <w:lang w:val="en-US" w:eastAsia="zh-CN"/>
        </w:rPr>
        <w:t>征求意见稿</w:t>
      </w:r>
      <w:r>
        <w:rPr>
          <w:rFonts w:hint="eastAsia" w:ascii="楷体" w:hAnsi="楷体" w:eastAsia="楷体" w:cs="楷体"/>
          <w:b w:val="0"/>
          <w:bCs w:val="0"/>
          <w:sz w:val="28"/>
          <w:szCs w:val="28"/>
          <w:u w:val="none" w:color="auto"/>
          <w:lang w:eastAsia="zh-CN"/>
        </w:rPr>
        <w:t>）</w:t>
      </w:r>
    </w:p>
    <w:p>
      <w:pPr>
        <w:keepNext w:val="0"/>
        <w:keepLines w:val="0"/>
        <w:pageBreakBefore w:val="0"/>
        <w:widowControl w:val="0"/>
        <w:kinsoku/>
        <w:overflowPunct/>
        <w:topLinePunct w:val="0"/>
        <w:autoSpaceDE/>
        <w:autoSpaceDN/>
        <w:bidi w:val="0"/>
        <w:adjustRightInd/>
        <w:snapToGrid/>
        <w:spacing w:line="660" w:lineRule="exact"/>
        <w:textAlignment w:val="auto"/>
        <w:rPr>
          <w:rFonts w:hint="eastAsia" w:ascii="仿宋" w:hAnsi="仿宋" w:eastAsia="仿宋"/>
          <w:sz w:val="32"/>
          <w:szCs w:val="32"/>
          <w:u w:val="none" w:color="auto"/>
        </w:rPr>
      </w:pP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第一章  总  则</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 xml:space="preserve">第一条  </w:t>
      </w:r>
      <w:r>
        <w:rPr>
          <w:rFonts w:hint="eastAsia" w:ascii="仿宋" w:hAnsi="仿宋" w:eastAsia="仿宋"/>
          <w:sz w:val="32"/>
          <w:szCs w:val="32"/>
          <w:u w:val="none" w:color="auto"/>
          <w:lang w:eastAsia="zh-CN"/>
        </w:rPr>
        <w:t>为贯彻落实《中共广东省委办公厅 广东省人民政府办公厅关于促进民营经济高质量发展的若干政策措施》（粤办发〔2018〕43号）</w:t>
      </w:r>
      <w:r>
        <w:rPr>
          <w:rFonts w:hint="eastAsia" w:ascii="仿宋" w:hAnsi="仿宋" w:eastAsia="仿宋"/>
          <w:color w:val="auto"/>
          <w:sz w:val="32"/>
          <w:szCs w:val="32"/>
          <w:u w:val="none" w:color="auto"/>
          <w:lang w:val="en-US" w:eastAsia="zh-CN"/>
        </w:rPr>
        <w:t>及《关于印发&lt;广东省支持中小企业融资的若干政策措施&gt;的通知》（粤金监〔2019〕58号）文件精神，为</w:t>
      </w:r>
      <w:r>
        <w:rPr>
          <w:rFonts w:hint="eastAsia" w:ascii="仿宋" w:hAnsi="仿宋" w:eastAsia="仿宋"/>
          <w:sz w:val="32"/>
          <w:szCs w:val="32"/>
          <w:u w:val="none" w:color="auto"/>
        </w:rPr>
        <w:t>支持</w:t>
      </w:r>
      <w:r>
        <w:rPr>
          <w:rFonts w:hint="eastAsia" w:ascii="仿宋" w:hAnsi="仿宋" w:eastAsia="仿宋"/>
          <w:sz w:val="32"/>
          <w:szCs w:val="32"/>
          <w:u w:val="none" w:color="auto"/>
          <w:lang w:eastAsia="zh-CN"/>
        </w:rPr>
        <w:t>民营经济</w:t>
      </w:r>
      <w:r>
        <w:rPr>
          <w:rFonts w:hint="eastAsia" w:ascii="仿宋" w:hAnsi="仿宋" w:eastAsia="仿宋"/>
          <w:sz w:val="32"/>
          <w:szCs w:val="32"/>
          <w:u w:val="none" w:color="auto"/>
        </w:rPr>
        <w:t>发展，帮助</w:t>
      </w:r>
      <w:r>
        <w:rPr>
          <w:rFonts w:hint="eastAsia" w:ascii="仿宋" w:hAnsi="仿宋" w:eastAsia="仿宋"/>
          <w:sz w:val="32"/>
          <w:szCs w:val="32"/>
          <w:u w:val="none" w:color="auto"/>
          <w:lang w:eastAsia="zh-CN"/>
        </w:rPr>
        <w:t>中小微</w:t>
      </w:r>
      <w:r>
        <w:rPr>
          <w:rFonts w:hint="eastAsia" w:ascii="仿宋" w:hAnsi="仿宋" w:eastAsia="仿宋"/>
          <w:sz w:val="32"/>
          <w:szCs w:val="32"/>
          <w:u w:val="none" w:color="auto"/>
        </w:rPr>
        <w:t>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及时获得金融机构</w:t>
      </w:r>
      <w:r>
        <w:rPr>
          <w:rFonts w:hint="eastAsia" w:ascii="仿宋" w:hAnsi="仿宋" w:eastAsia="仿宋"/>
          <w:sz w:val="32"/>
          <w:szCs w:val="32"/>
          <w:u w:val="none" w:color="auto"/>
          <w:lang w:eastAsia="zh-CN"/>
        </w:rPr>
        <w:t>续贷</w:t>
      </w:r>
      <w:r>
        <w:rPr>
          <w:rFonts w:hint="eastAsia" w:ascii="仿宋" w:hAnsi="仿宋" w:eastAsia="仿宋"/>
          <w:sz w:val="32"/>
          <w:szCs w:val="32"/>
          <w:u w:val="none" w:color="auto"/>
        </w:rPr>
        <w:t>支持，清远市设立</w:t>
      </w:r>
      <w:r>
        <w:rPr>
          <w:rFonts w:hint="eastAsia" w:ascii="仿宋" w:hAnsi="仿宋" w:eastAsia="仿宋"/>
          <w:sz w:val="32"/>
          <w:szCs w:val="32"/>
          <w:u w:val="none" w:color="auto"/>
          <w:lang w:eastAsia="zh-CN"/>
        </w:rPr>
        <w:t>“</w:t>
      </w:r>
      <w:r>
        <w:rPr>
          <w:rFonts w:hint="eastAsia" w:ascii="仿宋" w:hAnsi="仿宋" w:eastAsia="仿宋"/>
          <w:sz w:val="32"/>
          <w:szCs w:val="32"/>
          <w:u w:val="none" w:color="auto"/>
        </w:rPr>
        <w:t>清远市中小微企业</w:t>
      </w:r>
      <w:r>
        <w:rPr>
          <w:rFonts w:hint="eastAsia" w:ascii="仿宋" w:hAnsi="仿宋" w:eastAsia="仿宋"/>
          <w:sz w:val="32"/>
          <w:szCs w:val="32"/>
          <w:u w:val="none" w:color="auto"/>
          <w:lang w:eastAsia="zh-CN"/>
        </w:rPr>
        <w:t>应急</w:t>
      </w:r>
      <w:r>
        <w:rPr>
          <w:rFonts w:hint="eastAsia" w:ascii="仿宋" w:hAnsi="仿宋" w:eastAsia="仿宋"/>
          <w:sz w:val="32"/>
          <w:szCs w:val="32"/>
          <w:u w:val="none" w:color="auto"/>
        </w:rPr>
        <w:t>转贷（过桥）</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（以下简称转贷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w:t>
      </w:r>
      <w:r>
        <w:rPr>
          <w:rFonts w:hint="eastAsia" w:ascii="仿宋" w:hAnsi="仿宋" w:eastAsia="仿宋"/>
          <w:sz w:val="32"/>
          <w:szCs w:val="32"/>
          <w:u w:val="none" w:color="auto"/>
          <w:lang w:eastAsia="zh-CN"/>
        </w:rPr>
        <w:t>，并</w:t>
      </w:r>
      <w:r>
        <w:rPr>
          <w:rFonts w:hint="eastAsia" w:ascii="仿宋" w:hAnsi="仿宋" w:eastAsia="仿宋"/>
          <w:sz w:val="32"/>
          <w:szCs w:val="32"/>
          <w:u w:val="none" w:color="auto"/>
        </w:rPr>
        <w:t>制定本</w:t>
      </w:r>
      <w:r>
        <w:rPr>
          <w:rFonts w:hint="eastAsia" w:ascii="仿宋" w:hAnsi="仿宋" w:eastAsia="仿宋"/>
          <w:sz w:val="32"/>
          <w:szCs w:val="32"/>
          <w:u w:val="none" w:color="auto"/>
          <w:lang w:eastAsia="zh-CN"/>
        </w:rPr>
        <w:t>管理</w:t>
      </w:r>
      <w:r>
        <w:rPr>
          <w:rFonts w:hint="eastAsia" w:ascii="仿宋" w:hAnsi="仿宋" w:eastAsia="仿宋"/>
          <w:sz w:val="32"/>
          <w:szCs w:val="32"/>
          <w:u w:val="none" w:color="auto"/>
        </w:rPr>
        <w:t>办法。</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第二条  本办法所指转贷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主要为符合国家产业政策、发展导向和银行信贷条件，贷款即将到期具有还贷资金需求的企业提供短期周转的政策性资金。转贷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重点支持企业等流动资金贷款的转贷，房地产贷款、项目贷款、表外业务融资等不适用于本办法。</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第三条  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规模1亿元，由市财政出资。</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第四条  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使用遵循“专款专用、封闭运作、循环高效、严控风险”的原则。</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sz w:val="32"/>
          <w:szCs w:val="32"/>
          <w:u w:val="none" w:color="auto"/>
        </w:rPr>
      </w:pPr>
      <w:r>
        <w:rPr>
          <w:rFonts w:hint="eastAsia" w:ascii="仿宋" w:hAnsi="仿宋" w:eastAsia="仿宋"/>
          <w:b/>
          <w:bCs/>
          <w:sz w:val="32"/>
          <w:szCs w:val="32"/>
          <w:u w:val="none" w:color="auto"/>
        </w:rPr>
        <w:t>第二章  扶持对象</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第五条  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扶持的对象：</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w:t>
      </w:r>
      <w:r>
        <w:rPr>
          <w:rFonts w:hint="eastAsia" w:ascii="仿宋" w:hAnsi="仿宋" w:eastAsia="仿宋"/>
          <w:sz w:val="32"/>
          <w:szCs w:val="32"/>
          <w:u w:val="none" w:color="auto"/>
          <w:lang w:eastAsia="zh-CN"/>
        </w:rPr>
        <w:t>在我市行政区域内</w:t>
      </w:r>
      <w:r>
        <w:rPr>
          <w:rFonts w:hint="eastAsia" w:ascii="仿宋_GB2312" w:hAnsi="仿宋_GB2312" w:eastAsia="仿宋_GB2312" w:cs="仿宋_GB2312"/>
          <w:sz w:val="32"/>
          <w:szCs w:val="32"/>
        </w:rPr>
        <w:t>进行工商注册和税务登记</w:t>
      </w:r>
      <w:r>
        <w:rPr>
          <w:rFonts w:hint="eastAsia" w:ascii="仿宋" w:hAnsi="仿宋" w:eastAsia="仿宋"/>
          <w:sz w:val="32"/>
          <w:szCs w:val="32"/>
          <w:u w:val="none" w:color="auto"/>
          <w:lang w:eastAsia="zh-CN"/>
        </w:rPr>
        <w:t>，有健全的财务管理制度，符合《中小企业划型标准规定》（工信部联企业〔</w:t>
      </w:r>
      <w:r>
        <w:rPr>
          <w:rFonts w:hint="eastAsia" w:ascii="仿宋" w:hAnsi="仿宋" w:eastAsia="仿宋"/>
          <w:sz w:val="32"/>
          <w:szCs w:val="32"/>
          <w:u w:val="none" w:color="auto"/>
          <w:lang w:val="en-US" w:eastAsia="zh-CN"/>
        </w:rPr>
        <w:t>2011</w:t>
      </w:r>
      <w:r>
        <w:rPr>
          <w:rFonts w:hint="eastAsia" w:ascii="仿宋" w:hAnsi="仿宋" w:eastAsia="仿宋"/>
          <w:sz w:val="32"/>
          <w:szCs w:val="32"/>
          <w:u w:val="none" w:color="auto"/>
          <w:lang w:eastAsia="zh-CN"/>
        </w:rPr>
        <w:t>〕</w:t>
      </w:r>
      <w:r>
        <w:rPr>
          <w:rFonts w:hint="eastAsia" w:ascii="仿宋" w:hAnsi="仿宋" w:eastAsia="仿宋"/>
          <w:sz w:val="32"/>
          <w:szCs w:val="32"/>
          <w:u w:val="none" w:color="auto"/>
          <w:lang w:val="en-US" w:eastAsia="zh-CN"/>
        </w:rPr>
        <w:t>300号）的中型、小型和微型企业，</w:t>
      </w:r>
      <w:r>
        <w:rPr>
          <w:rFonts w:hint="eastAsia" w:ascii="仿宋_GB2312" w:hAnsi="仿宋_GB2312" w:eastAsia="仿宋_GB2312" w:cs="仿宋_GB2312"/>
          <w:sz w:val="32"/>
          <w:szCs w:val="32"/>
        </w:rPr>
        <w:t>持续经营</w:t>
      </w:r>
      <w:r>
        <w:rPr>
          <w:rFonts w:hint="eastAsia" w:ascii="仿宋" w:hAnsi="仿宋" w:eastAsia="仿宋"/>
          <w:sz w:val="32"/>
          <w:szCs w:val="32"/>
          <w:u w:val="none" w:color="auto"/>
          <w:lang w:eastAsia="zh-CN"/>
        </w:rPr>
        <w:t>，</w:t>
      </w:r>
      <w:r>
        <w:rPr>
          <w:rFonts w:hint="eastAsia" w:ascii="仿宋" w:hAnsi="仿宋" w:eastAsia="仿宋"/>
          <w:sz w:val="32"/>
          <w:szCs w:val="32"/>
          <w:u w:val="none" w:color="auto"/>
        </w:rPr>
        <w:t>无不良</w:t>
      </w:r>
      <w:r>
        <w:rPr>
          <w:rFonts w:hint="eastAsia" w:ascii="仿宋" w:hAnsi="仿宋" w:eastAsia="仿宋"/>
          <w:sz w:val="32"/>
          <w:szCs w:val="32"/>
          <w:u w:val="none" w:color="auto"/>
          <w:lang w:eastAsia="zh-CN"/>
        </w:rPr>
        <w:t>信用</w:t>
      </w:r>
      <w:r>
        <w:rPr>
          <w:rFonts w:hint="eastAsia" w:ascii="仿宋" w:hAnsi="仿宋" w:eastAsia="仿宋"/>
          <w:sz w:val="32"/>
          <w:szCs w:val="32"/>
          <w:u w:val="none" w:color="auto"/>
        </w:rPr>
        <w:t>记录。</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lang w:eastAsia="zh-CN"/>
        </w:rPr>
      </w:pPr>
      <w:r>
        <w:rPr>
          <w:rFonts w:hint="eastAsia" w:ascii="仿宋" w:hAnsi="仿宋" w:eastAsia="仿宋"/>
          <w:sz w:val="32"/>
          <w:szCs w:val="32"/>
          <w:u w:val="none" w:color="auto"/>
          <w:lang w:val="en-US" w:eastAsia="zh-CN"/>
        </w:rPr>
        <w:t>（二）</w:t>
      </w:r>
      <w:r>
        <w:rPr>
          <w:rFonts w:hint="eastAsia" w:ascii="仿宋" w:hAnsi="仿宋" w:eastAsia="仿宋"/>
          <w:sz w:val="32"/>
          <w:szCs w:val="32"/>
          <w:u w:val="none" w:color="auto"/>
          <w:lang w:eastAsia="zh-CN"/>
        </w:rPr>
        <w:t>符合中国人民银行和中国银行保险监督管理委员会确定的“普惠型小微企业贷款”标准的</w:t>
      </w:r>
      <w:r>
        <w:rPr>
          <w:rFonts w:hint="eastAsia" w:ascii="仿宋" w:hAnsi="仿宋" w:eastAsia="仿宋"/>
          <w:sz w:val="32"/>
          <w:szCs w:val="32"/>
          <w:u w:val="none" w:color="auto"/>
        </w:rPr>
        <w:t>个体工商户贷款</w:t>
      </w:r>
      <w:r>
        <w:rPr>
          <w:rFonts w:hint="eastAsia" w:ascii="仿宋" w:hAnsi="仿宋" w:eastAsia="仿宋"/>
          <w:sz w:val="32"/>
          <w:szCs w:val="32"/>
          <w:u w:val="none" w:color="auto"/>
          <w:lang w:eastAsia="zh-CN"/>
        </w:rPr>
        <w:t>和</w:t>
      </w:r>
      <w:r>
        <w:rPr>
          <w:rFonts w:hint="eastAsia" w:ascii="仿宋" w:hAnsi="仿宋" w:eastAsia="仿宋"/>
          <w:sz w:val="32"/>
          <w:szCs w:val="32"/>
          <w:u w:val="none" w:color="auto"/>
        </w:rPr>
        <w:t>小微企业主贷款</w:t>
      </w:r>
      <w:r>
        <w:rPr>
          <w:rFonts w:hint="eastAsia" w:ascii="仿宋" w:hAnsi="仿宋" w:eastAsia="仿宋"/>
          <w:sz w:val="32"/>
          <w:szCs w:val="32"/>
          <w:u w:val="none" w:color="auto"/>
          <w:lang w:eastAsia="zh-CN"/>
        </w:rPr>
        <w:t>。</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lang w:eastAsia="zh-CN"/>
        </w:rPr>
        <w:t>（三）</w:t>
      </w:r>
      <w:r>
        <w:rPr>
          <w:rFonts w:hint="eastAsia" w:ascii="仿宋" w:hAnsi="仿宋" w:eastAsia="仿宋"/>
          <w:sz w:val="32"/>
          <w:szCs w:val="32"/>
          <w:u w:val="none" w:color="auto"/>
        </w:rPr>
        <w:t>具有企业性质的涉农组织机构（如农民专业合作社等）、社会团体等非营利性组织。</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lang w:eastAsia="zh-CN"/>
        </w:rPr>
        <w:t>贷款须</w:t>
      </w:r>
      <w:r>
        <w:rPr>
          <w:rFonts w:hint="eastAsia" w:ascii="仿宋" w:hAnsi="仿宋" w:eastAsia="仿宋"/>
          <w:sz w:val="32"/>
          <w:szCs w:val="32"/>
          <w:u w:val="none" w:color="auto"/>
        </w:rPr>
        <w:t>符合转贷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合作银行（以下简称合作银行）贷款条件</w:t>
      </w:r>
      <w:r>
        <w:rPr>
          <w:rFonts w:hint="eastAsia" w:ascii="仿宋" w:hAnsi="仿宋" w:eastAsia="仿宋"/>
          <w:sz w:val="32"/>
          <w:szCs w:val="32"/>
          <w:u w:val="none" w:color="auto"/>
          <w:lang w:eastAsia="zh-CN"/>
        </w:rPr>
        <w:t>，</w:t>
      </w:r>
      <w:r>
        <w:rPr>
          <w:rFonts w:hint="eastAsia" w:ascii="仿宋" w:hAnsi="仿宋" w:eastAsia="仿宋"/>
          <w:sz w:val="32"/>
          <w:szCs w:val="32"/>
          <w:u w:val="none" w:color="auto"/>
        </w:rPr>
        <w:t>原流动资金贷款为正常类且合作银行愿意为企业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出具使用转贷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审核意见、承诺向企业发放续贷资金和承诺清偿转贷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的书面材料。</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第六条  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优先满足市辖区内企业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转贷需求，并视资金实际情况扶持清远市行政区域内的其他企业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第三章  管理架构和职责</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第七条  成立清远市中小微企业</w:t>
      </w:r>
      <w:r>
        <w:rPr>
          <w:rFonts w:hint="eastAsia" w:ascii="仿宋" w:hAnsi="仿宋" w:eastAsia="仿宋"/>
          <w:sz w:val="32"/>
          <w:szCs w:val="32"/>
          <w:u w:val="none" w:color="auto"/>
          <w:lang w:eastAsia="zh-CN"/>
        </w:rPr>
        <w:t>应急</w:t>
      </w:r>
      <w:r>
        <w:rPr>
          <w:rFonts w:hint="eastAsia" w:ascii="仿宋" w:hAnsi="仿宋" w:eastAsia="仿宋"/>
          <w:sz w:val="32"/>
          <w:szCs w:val="32"/>
          <w:u w:val="none" w:color="auto"/>
        </w:rPr>
        <w:t>转贷（过桥）</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管理领导小组（以下简称领导小组）。领导小组由分管市领导任组长，成员由市金融局、市工业和信息化局、市财政局、</w:t>
      </w:r>
      <w:r>
        <w:rPr>
          <w:rFonts w:hint="eastAsia" w:ascii="仿宋" w:hAnsi="仿宋" w:eastAsia="仿宋"/>
          <w:color w:val="000000"/>
          <w:sz w:val="32"/>
          <w:szCs w:val="32"/>
          <w:u w:val="none" w:color="auto"/>
          <w:lang w:eastAsia="zh-CN"/>
        </w:rPr>
        <w:t>人民银行</w:t>
      </w:r>
      <w:r>
        <w:rPr>
          <w:rFonts w:hint="eastAsia" w:ascii="仿宋" w:hAnsi="仿宋" w:eastAsia="仿宋"/>
          <w:color w:val="000000"/>
          <w:sz w:val="32"/>
          <w:szCs w:val="32"/>
          <w:u w:val="none" w:color="auto"/>
        </w:rPr>
        <w:t>清远中心支行、清远银保监分局</w:t>
      </w:r>
      <w:r>
        <w:rPr>
          <w:rFonts w:hint="eastAsia" w:ascii="仿宋" w:hAnsi="仿宋" w:eastAsia="仿宋"/>
          <w:sz w:val="32"/>
          <w:szCs w:val="32"/>
          <w:u w:val="none" w:color="auto"/>
        </w:rPr>
        <w:t>等职能部门派员组成。领导小组办公室设在市金融局，办公室主任由市金融局局长兼任，办公室日常工作由市金融局承担。</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第八条  领导小组和领导小组办公室的职责如下：</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（一）领导小组负责制定</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管理办法、使用原则，落实资金来源，指导和监督转贷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运作，协调解决运行中的重大问题。</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（二）领导小组办公室承担领导小组日常工作，负责与转贷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管理平台、合作贷款银行及其他合作机构的沟通对接，对转贷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进行检查和督导。</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第九条 清远市金融服务中心作为转贷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管理平台，负责转贷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的日常运行、宣传推广和管理工作，制定配套的业务制度和流程，与合作银行签订有关转贷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运行合约，开立转贷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专用账户，</w:t>
      </w:r>
      <w:r>
        <w:rPr>
          <w:rFonts w:hint="eastAsia" w:ascii="仿宋" w:hAnsi="仿宋" w:eastAsia="仿宋"/>
          <w:sz w:val="32"/>
          <w:szCs w:val="32"/>
          <w:u w:val="none" w:color="auto"/>
          <w:lang w:eastAsia="zh-CN"/>
        </w:rPr>
        <w:t>对各合作银行专用账户的资金进行归集、分配、调拨，</w:t>
      </w:r>
      <w:r>
        <w:rPr>
          <w:rFonts w:hint="eastAsia" w:ascii="仿宋" w:hAnsi="仿宋" w:eastAsia="仿宋"/>
          <w:sz w:val="32"/>
          <w:szCs w:val="32"/>
          <w:u w:val="none" w:color="auto"/>
        </w:rPr>
        <w:t>必要时对申请转贷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进行</w:t>
      </w:r>
      <w:r>
        <w:rPr>
          <w:rFonts w:hint="eastAsia" w:ascii="仿宋" w:hAnsi="仿宋" w:eastAsia="仿宋"/>
          <w:sz w:val="32"/>
          <w:szCs w:val="32"/>
          <w:u w:val="none" w:color="auto"/>
          <w:lang w:eastAsia="zh-CN"/>
        </w:rPr>
        <w:t>走访调研</w:t>
      </w:r>
      <w:r>
        <w:rPr>
          <w:rFonts w:hint="eastAsia" w:ascii="仿宋" w:hAnsi="仿宋" w:eastAsia="仿宋"/>
          <w:sz w:val="32"/>
          <w:szCs w:val="32"/>
          <w:u w:val="none" w:color="auto"/>
        </w:rPr>
        <w:t>。</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第四章  合作银行的条件和义务</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第十条  合作银行应符合以下基本条件：</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（一）在清远市注册成立或设有分支机构且有一定授信审批权限。</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（二）与清远市金融服务中心签订合作协议并自愿履行协议义务。</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（三）愿意为使用转贷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的企业提供续贷服务，并无条件承担足额及时归还转贷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的责任。</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（四）愿意向清远市金融服务中心提供申请企业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在人行征信系统的资信报告。</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第十一条  合作银行应承担如下义务：</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（一）完善内部控制和风险管理制度，确保转贷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安全。</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（二）完善内部业务流程和业务指引，切实提升资金周转效率。</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（三）优化内部考核机制和加强内部员工业务培训工作，加大转贷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的推广力度。</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（四）专人负责转贷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管理工作，向清远市金融服务中心报送资金运行情况。</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（五）不将企业申请使用转贷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情况与企业</w:t>
      </w:r>
      <w:r>
        <w:rPr>
          <w:rFonts w:hint="eastAsia" w:ascii="仿宋" w:hAnsi="仿宋" w:eastAsia="仿宋"/>
          <w:sz w:val="32"/>
          <w:szCs w:val="32"/>
          <w:u w:val="none" w:color="auto"/>
          <w:lang w:eastAsia="zh-CN"/>
        </w:rPr>
        <w:t>等的</w:t>
      </w:r>
      <w:r>
        <w:rPr>
          <w:rFonts w:hint="eastAsia" w:ascii="仿宋" w:hAnsi="仿宋" w:eastAsia="仿宋"/>
          <w:sz w:val="32"/>
          <w:szCs w:val="32"/>
          <w:u w:val="none" w:color="auto"/>
        </w:rPr>
        <w:t>资信评级挂钩。</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第五章  资金额度和收费标准</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第十二条  为确保资金安全，清远市金融服务中心设立转贷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专用账户运作，实行封闭管理。单笔转贷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使用额度控制在合作银行承诺续贷额度以内，原则上不超过</w:t>
      </w:r>
      <w:r>
        <w:rPr>
          <w:rFonts w:hint="eastAsia" w:ascii="仿宋" w:hAnsi="仿宋" w:eastAsia="仿宋"/>
          <w:sz w:val="32"/>
          <w:szCs w:val="32"/>
          <w:u w:val="none" w:color="auto"/>
          <w:lang w:val="en-US" w:eastAsia="zh-CN"/>
        </w:rPr>
        <w:t>2</w:t>
      </w:r>
      <w:r>
        <w:rPr>
          <w:rFonts w:hint="eastAsia" w:ascii="仿宋" w:hAnsi="仿宋" w:eastAsia="仿宋"/>
          <w:sz w:val="32"/>
          <w:szCs w:val="32"/>
          <w:u w:val="none" w:color="auto"/>
        </w:rPr>
        <w:t>000万元（含），单笔超过</w:t>
      </w:r>
      <w:r>
        <w:rPr>
          <w:rFonts w:hint="eastAsia" w:ascii="仿宋" w:hAnsi="仿宋" w:eastAsia="仿宋"/>
          <w:sz w:val="32"/>
          <w:szCs w:val="32"/>
          <w:u w:val="none" w:color="auto"/>
          <w:lang w:val="en-US" w:eastAsia="zh-CN"/>
        </w:rPr>
        <w:t>2</w:t>
      </w:r>
      <w:r>
        <w:rPr>
          <w:rFonts w:hint="eastAsia" w:ascii="仿宋" w:hAnsi="仿宋" w:eastAsia="仿宋"/>
          <w:sz w:val="32"/>
          <w:szCs w:val="32"/>
          <w:u w:val="none" w:color="auto"/>
        </w:rPr>
        <w:t>000万元或申请企业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在同一时点（天）、同一银行申请转贷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合计超过</w:t>
      </w:r>
      <w:r>
        <w:rPr>
          <w:rFonts w:hint="eastAsia" w:ascii="仿宋" w:hAnsi="仿宋" w:eastAsia="仿宋"/>
          <w:sz w:val="32"/>
          <w:szCs w:val="32"/>
          <w:u w:val="none" w:color="auto"/>
          <w:lang w:val="en-US" w:eastAsia="zh-CN"/>
        </w:rPr>
        <w:t>2</w:t>
      </w:r>
      <w:r>
        <w:rPr>
          <w:rFonts w:hint="eastAsia" w:ascii="仿宋" w:hAnsi="仿宋" w:eastAsia="仿宋"/>
          <w:sz w:val="32"/>
          <w:szCs w:val="32"/>
          <w:u w:val="none" w:color="auto"/>
        </w:rPr>
        <w:t>000万元，须报领导小组办公室审批。</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第十三条  为充分提高转贷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的运转效率，采取差别化收费方式，向使用转贷</w:t>
      </w:r>
      <w:r>
        <w:rPr>
          <w:rFonts w:hint="eastAsia" w:ascii="仿宋" w:hAnsi="仿宋" w:eastAsia="仿宋"/>
          <w:sz w:val="32"/>
          <w:szCs w:val="32"/>
          <w:u w:val="none" w:color="auto"/>
          <w:lang w:eastAsia="zh-CN"/>
        </w:rPr>
        <w:t>资金的</w:t>
      </w:r>
      <w:r>
        <w:rPr>
          <w:rFonts w:hint="eastAsia" w:ascii="仿宋" w:hAnsi="仿宋" w:eastAsia="仿宋"/>
          <w:sz w:val="32"/>
          <w:szCs w:val="32"/>
          <w:u w:val="none" w:color="auto"/>
        </w:rPr>
        <w:t>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收取资金服务费。转贷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使用时限原则上不超过</w:t>
      </w:r>
      <w:r>
        <w:rPr>
          <w:rFonts w:hint="eastAsia" w:ascii="仿宋" w:hAnsi="仿宋" w:eastAsia="仿宋"/>
          <w:sz w:val="32"/>
          <w:szCs w:val="32"/>
          <w:u w:val="none" w:color="auto"/>
          <w:lang w:val="en-US" w:eastAsia="zh-CN"/>
        </w:rPr>
        <w:t>10个工作日（含），使用期内按每自然日0.3</w:t>
      </w:r>
      <w:r>
        <w:rPr>
          <w:rFonts w:hint="eastAsia" w:ascii="仿宋" w:hAnsi="仿宋" w:eastAsia="仿宋"/>
          <w:sz w:val="32"/>
          <w:szCs w:val="32"/>
          <w:u w:val="none" w:color="auto"/>
        </w:rPr>
        <w:t>‰</w:t>
      </w:r>
      <w:r>
        <w:rPr>
          <w:rFonts w:hint="eastAsia" w:ascii="仿宋" w:hAnsi="仿宋" w:eastAsia="仿宋"/>
          <w:sz w:val="32"/>
          <w:szCs w:val="32"/>
          <w:u w:val="none" w:color="auto"/>
          <w:lang w:eastAsia="zh-CN"/>
        </w:rPr>
        <w:t>的费率计算资金服务费</w:t>
      </w:r>
      <w:r>
        <w:rPr>
          <w:rFonts w:hint="eastAsia" w:ascii="仿宋" w:hAnsi="仿宋" w:eastAsia="仿宋"/>
          <w:sz w:val="32"/>
          <w:szCs w:val="32"/>
          <w:u w:val="none" w:color="auto"/>
        </w:rPr>
        <w:t>。确需延长且无违约风险的，由合作银行向清远市金融服务中心提出申请，经市转贷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管理领导小组办公室批准同意后</w:t>
      </w:r>
      <w:r>
        <w:rPr>
          <w:rFonts w:hint="eastAsia" w:ascii="仿宋" w:hAnsi="仿宋" w:eastAsia="仿宋"/>
          <w:sz w:val="32"/>
          <w:szCs w:val="32"/>
          <w:u w:val="none" w:color="auto"/>
          <w:lang w:eastAsia="zh-CN"/>
        </w:rPr>
        <w:t>方可延期</w:t>
      </w:r>
      <w:r>
        <w:rPr>
          <w:rFonts w:hint="eastAsia" w:ascii="仿宋" w:hAnsi="仿宋" w:eastAsia="仿宋"/>
          <w:sz w:val="32"/>
          <w:szCs w:val="32"/>
          <w:u w:val="none" w:color="auto"/>
        </w:rPr>
        <w:t>，</w:t>
      </w:r>
      <w:r>
        <w:rPr>
          <w:rFonts w:hint="eastAsia" w:ascii="仿宋" w:hAnsi="仿宋" w:eastAsia="仿宋"/>
          <w:sz w:val="32"/>
          <w:szCs w:val="32"/>
          <w:u w:val="none" w:color="auto"/>
          <w:lang w:eastAsia="zh-CN"/>
        </w:rPr>
        <w:t>延长期内按每自然日0.</w:t>
      </w:r>
      <w:r>
        <w:rPr>
          <w:rFonts w:hint="eastAsia" w:ascii="仿宋" w:hAnsi="仿宋" w:eastAsia="仿宋"/>
          <w:sz w:val="32"/>
          <w:szCs w:val="32"/>
          <w:u w:val="none" w:color="auto"/>
          <w:lang w:val="en-US" w:eastAsia="zh-CN"/>
        </w:rPr>
        <w:t>4</w:t>
      </w:r>
      <w:r>
        <w:rPr>
          <w:rFonts w:hint="eastAsia" w:ascii="仿宋" w:hAnsi="仿宋" w:eastAsia="仿宋"/>
          <w:sz w:val="32"/>
          <w:szCs w:val="32"/>
          <w:u w:val="none" w:color="auto"/>
          <w:lang w:eastAsia="zh-CN"/>
        </w:rPr>
        <w:t>‰的费率计算资金服务费</w:t>
      </w:r>
      <w:r>
        <w:rPr>
          <w:rFonts w:hint="eastAsia" w:ascii="仿宋" w:hAnsi="仿宋" w:eastAsia="仿宋"/>
          <w:sz w:val="32"/>
          <w:szCs w:val="32"/>
          <w:u w:val="none" w:color="auto"/>
        </w:rPr>
        <w:t>。企业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的时间计算为自转贷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从专用账户划出</w:t>
      </w:r>
      <w:r>
        <w:rPr>
          <w:rFonts w:hint="eastAsia" w:ascii="仿宋" w:hAnsi="仿宋" w:eastAsia="仿宋"/>
          <w:sz w:val="32"/>
          <w:szCs w:val="32"/>
          <w:u w:val="none" w:color="auto"/>
          <w:lang w:eastAsia="zh-CN"/>
        </w:rPr>
        <w:t>至合作银行指定账户</w:t>
      </w:r>
      <w:r>
        <w:rPr>
          <w:rFonts w:hint="eastAsia" w:ascii="仿宋" w:hAnsi="仿宋" w:eastAsia="仿宋"/>
          <w:sz w:val="32"/>
          <w:szCs w:val="32"/>
          <w:u w:val="none" w:color="auto"/>
        </w:rPr>
        <w:t>之日起计，至相应还款资金回收到专用账户之日止。</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第十四条  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供不应求时，在遵循“公平、公正、公开”原则基础上，遵循以下原则依次对企业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实施扶持：</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（一）市辖区内企业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优先原则。转贷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在满足市辖区内企业转贷前提下，可扶持清远市行政区域内的其他企业。</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（二）先到先得原则</w:t>
      </w:r>
      <w:r>
        <w:rPr>
          <w:rFonts w:hint="eastAsia" w:ascii="仿宋" w:hAnsi="仿宋" w:eastAsia="仿宋"/>
          <w:sz w:val="32"/>
          <w:szCs w:val="32"/>
          <w:u w:val="none" w:color="auto"/>
          <w:lang w:eastAsia="zh-CN"/>
        </w:rPr>
        <w:t>。</w:t>
      </w:r>
      <w:r>
        <w:rPr>
          <w:rFonts w:hint="eastAsia" w:ascii="仿宋" w:hAnsi="仿宋" w:eastAsia="仿宋"/>
          <w:sz w:val="32"/>
          <w:szCs w:val="32"/>
          <w:u w:val="none" w:color="auto"/>
        </w:rPr>
        <w:t>按照申请时间先后顺序进行选定。</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（三）首次使用优先原则</w:t>
      </w:r>
      <w:r>
        <w:rPr>
          <w:rFonts w:hint="eastAsia" w:ascii="仿宋" w:hAnsi="仿宋" w:eastAsia="仿宋"/>
          <w:sz w:val="32"/>
          <w:szCs w:val="32"/>
          <w:u w:val="none" w:color="auto"/>
          <w:lang w:eastAsia="zh-CN"/>
        </w:rPr>
        <w:t>。</w:t>
      </w:r>
      <w:r>
        <w:rPr>
          <w:rFonts w:hint="eastAsia" w:ascii="仿宋" w:hAnsi="仿宋" w:eastAsia="仿宋"/>
          <w:sz w:val="32"/>
          <w:szCs w:val="32"/>
          <w:u w:val="none" w:color="auto"/>
        </w:rPr>
        <w:t>首次申请的企业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优先于再次申请的企业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第六章  业务流程</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第十五条  申请。企业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向合作银行提出续贷申请，提交转贷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申请表和相关申请材料。若企业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向清远市金融服务中心申请的，清远市金融服务中心应及时与相关合作银行进行对接。</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第十六条  审核。合作银行对企业</w:t>
      </w:r>
      <w:r>
        <w:rPr>
          <w:rFonts w:hint="eastAsia" w:ascii="仿宋" w:hAnsi="仿宋" w:eastAsia="仿宋"/>
          <w:sz w:val="32"/>
          <w:szCs w:val="32"/>
          <w:u w:val="none" w:color="auto"/>
          <w:lang w:eastAsia="zh-CN"/>
        </w:rPr>
        <w:t>等的</w:t>
      </w:r>
      <w:r>
        <w:rPr>
          <w:rFonts w:hint="eastAsia" w:ascii="仿宋" w:hAnsi="仿宋" w:eastAsia="仿宋"/>
          <w:sz w:val="32"/>
          <w:szCs w:val="32"/>
          <w:u w:val="none" w:color="auto"/>
        </w:rPr>
        <w:t>申报材料进行审核，对确认予以续贷，并同意申请转贷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的，出具签字盖章的转贷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安排使用意见，并附申请企业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的相关材料。申请企业同时授权合作银行办理将对应所使用转贷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本金和资金服务费的款项划回转贷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专用账户的手续。</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lang w:eastAsia="zh-CN"/>
        </w:rPr>
      </w:pPr>
      <w:r>
        <w:rPr>
          <w:rFonts w:hint="eastAsia" w:ascii="仿宋" w:hAnsi="仿宋" w:eastAsia="仿宋"/>
          <w:sz w:val="32"/>
          <w:szCs w:val="32"/>
          <w:u w:val="none" w:color="auto"/>
        </w:rPr>
        <w:t>第十七条  批准。合作银行出具续贷承诺意见后，清远市金融服务中心对申请</w:t>
      </w:r>
      <w:r>
        <w:rPr>
          <w:rFonts w:hint="eastAsia" w:ascii="仿宋" w:hAnsi="仿宋" w:eastAsia="仿宋"/>
          <w:sz w:val="32"/>
          <w:szCs w:val="32"/>
          <w:u w:val="none" w:color="auto"/>
          <w:lang w:eastAsia="zh-CN"/>
        </w:rPr>
        <w:t>材料进行审核</w:t>
      </w:r>
      <w:r>
        <w:rPr>
          <w:rFonts w:hint="eastAsia" w:ascii="仿宋" w:hAnsi="仿宋" w:eastAsia="仿宋"/>
          <w:sz w:val="32"/>
          <w:szCs w:val="32"/>
          <w:u w:val="none" w:color="auto"/>
        </w:rPr>
        <w:t>，决定转贷金额并签署意见。手续齐备后，清远市金融服务中心通知合作银行办理转贷业务。</w:t>
      </w:r>
      <w:r>
        <w:rPr>
          <w:rFonts w:hint="eastAsia" w:ascii="仿宋" w:hAnsi="仿宋" w:eastAsia="仿宋"/>
          <w:sz w:val="32"/>
          <w:szCs w:val="32"/>
          <w:u w:val="none" w:color="auto"/>
          <w:lang w:eastAsia="zh-CN"/>
        </w:rPr>
        <w:t>并将资金划入合作银行指定账户，完成企业等还贷程序。</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lang w:eastAsia="zh-CN"/>
        </w:rPr>
      </w:pPr>
      <w:r>
        <w:rPr>
          <w:rFonts w:hint="eastAsia" w:ascii="仿宋" w:hAnsi="仿宋" w:eastAsia="仿宋"/>
          <w:sz w:val="32"/>
          <w:szCs w:val="32"/>
          <w:u w:val="none" w:color="auto"/>
        </w:rPr>
        <w:t>第十八条  收回。合作银行收到相应资金后，原则上应在2个工作日内办理完成续贷手续并发放贷款，并负责将</w:t>
      </w:r>
      <w:r>
        <w:rPr>
          <w:rFonts w:hint="eastAsia" w:ascii="仿宋" w:hAnsi="仿宋" w:eastAsia="仿宋"/>
          <w:sz w:val="32"/>
          <w:szCs w:val="32"/>
          <w:u w:val="none" w:color="auto"/>
          <w:lang w:eastAsia="zh-CN"/>
        </w:rPr>
        <w:t>企业等申请的转贷资金和企业应支付的资金服务费划转</w:t>
      </w:r>
      <w:r>
        <w:rPr>
          <w:rFonts w:hint="eastAsia" w:ascii="仿宋" w:hAnsi="仿宋" w:eastAsia="仿宋"/>
          <w:sz w:val="32"/>
          <w:szCs w:val="32"/>
          <w:u w:val="none" w:color="auto"/>
        </w:rPr>
        <w:t>至清远市金融服务中心转贷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专用账户，</w:t>
      </w:r>
      <w:r>
        <w:rPr>
          <w:rFonts w:hint="eastAsia" w:ascii="仿宋" w:hAnsi="仿宋" w:eastAsia="仿宋"/>
          <w:sz w:val="32"/>
          <w:szCs w:val="32"/>
          <w:u w:val="none" w:color="auto"/>
          <w:lang w:eastAsia="zh-CN"/>
        </w:rPr>
        <w:t>完成资金使用过程。</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第十九条  资料归档。转贷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收回后，清远市金融服务中心将资金的申请、使用、收回全过程中形成的资料立卷归档，以备后查。</w:t>
      </w:r>
    </w:p>
    <w:p>
      <w:pPr>
        <w:keepNext w:val="0"/>
        <w:keepLines w:val="0"/>
        <w:pageBreakBefore w:val="0"/>
        <w:widowControl w:val="0"/>
        <w:kinsoku/>
        <w:overflowPunct/>
        <w:topLinePunct w:val="0"/>
        <w:autoSpaceDE/>
        <w:autoSpaceDN/>
        <w:bidi w:val="0"/>
        <w:adjustRightInd/>
        <w:snapToGrid/>
        <w:spacing w:line="660" w:lineRule="exact"/>
        <w:ind w:firstLine="2409" w:firstLineChars="750"/>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第七章  监督和风险控制</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第二十条  建立信息报送机制。清远市金融服务中心统计业务数据，汇总转贷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运营情况，</w:t>
      </w:r>
      <w:r>
        <w:rPr>
          <w:rFonts w:hint="eastAsia" w:ascii="仿宋" w:hAnsi="仿宋" w:eastAsia="仿宋"/>
          <w:sz w:val="32"/>
          <w:szCs w:val="32"/>
          <w:u w:val="none" w:color="auto"/>
          <w:lang w:eastAsia="zh-CN"/>
        </w:rPr>
        <w:t>每季度</w:t>
      </w:r>
      <w:r>
        <w:rPr>
          <w:rFonts w:hint="eastAsia" w:ascii="仿宋" w:hAnsi="仿宋" w:eastAsia="仿宋"/>
          <w:sz w:val="32"/>
          <w:szCs w:val="32"/>
          <w:u w:val="none" w:color="auto"/>
        </w:rPr>
        <w:t>向领导小组办公室汇报；领导小组办公室原则上每年向领导小组</w:t>
      </w:r>
      <w:r>
        <w:rPr>
          <w:rFonts w:hint="eastAsia" w:ascii="仿宋" w:hAnsi="仿宋" w:eastAsia="仿宋"/>
          <w:sz w:val="32"/>
          <w:szCs w:val="32"/>
          <w:u w:val="none" w:color="auto"/>
          <w:lang w:eastAsia="zh-CN"/>
        </w:rPr>
        <w:t>汇</w:t>
      </w:r>
      <w:r>
        <w:rPr>
          <w:rFonts w:hint="eastAsia" w:ascii="仿宋" w:hAnsi="仿宋" w:eastAsia="仿宋"/>
          <w:sz w:val="32"/>
          <w:szCs w:val="32"/>
          <w:u w:val="none" w:color="auto"/>
        </w:rPr>
        <w:t>报转贷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运营情况。转贷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出现风险时，应及时向领导小组汇报。</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第二十一条  清远市金融服务中心单独设置会计科目核算转贷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及收益</w:t>
      </w:r>
      <w:r>
        <w:rPr>
          <w:rFonts w:hint="eastAsia" w:ascii="仿宋" w:hAnsi="仿宋" w:eastAsia="仿宋"/>
          <w:sz w:val="32"/>
          <w:szCs w:val="32"/>
          <w:u w:val="none" w:color="auto"/>
          <w:lang w:eastAsia="zh-CN"/>
        </w:rPr>
        <w:t>，</w:t>
      </w:r>
      <w:r>
        <w:rPr>
          <w:rFonts w:hint="eastAsia" w:ascii="仿宋" w:hAnsi="仿宋" w:eastAsia="仿宋"/>
          <w:sz w:val="32"/>
          <w:szCs w:val="32"/>
          <w:u w:val="none" w:color="auto"/>
        </w:rPr>
        <w:t>规范资金运营，不得从转贷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收益科目中直接坐支相关费用。</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b/>
          <w:sz w:val="32"/>
          <w:szCs w:val="32"/>
          <w:u w:val="dotted" w:color="auto"/>
        </w:rPr>
      </w:pPr>
      <w:r>
        <w:rPr>
          <w:rFonts w:hint="eastAsia" w:ascii="仿宋" w:hAnsi="仿宋" w:eastAsia="仿宋"/>
          <w:b w:val="0"/>
          <w:bCs/>
          <w:sz w:val="32"/>
          <w:szCs w:val="32"/>
          <w:u w:val="none" w:color="auto"/>
        </w:rPr>
        <w:t>第二十二条  建立审计机制。由市</w:t>
      </w:r>
      <w:bookmarkStart w:id="0" w:name="_GoBack"/>
      <w:bookmarkEnd w:id="0"/>
      <w:r>
        <w:rPr>
          <w:rFonts w:hint="eastAsia" w:ascii="仿宋" w:hAnsi="仿宋" w:eastAsia="仿宋"/>
          <w:b w:val="0"/>
          <w:bCs/>
          <w:sz w:val="32"/>
          <w:szCs w:val="32"/>
          <w:u w:val="none" w:color="auto"/>
        </w:rPr>
        <w:t>审计局对转贷</w:t>
      </w:r>
      <w:r>
        <w:rPr>
          <w:rFonts w:hint="eastAsia" w:ascii="仿宋" w:hAnsi="仿宋" w:eastAsia="仿宋"/>
          <w:b w:val="0"/>
          <w:bCs/>
          <w:sz w:val="32"/>
          <w:szCs w:val="32"/>
          <w:u w:val="none" w:color="auto"/>
          <w:lang w:eastAsia="zh-CN"/>
        </w:rPr>
        <w:t>资金</w:t>
      </w:r>
      <w:r>
        <w:rPr>
          <w:rFonts w:hint="eastAsia" w:ascii="仿宋" w:hAnsi="仿宋" w:eastAsia="仿宋"/>
          <w:b w:val="0"/>
          <w:bCs/>
          <w:sz w:val="32"/>
          <w:szCs w:val="32"/>
          <w:u w:val="none" w:color="auto"/>
        </w:rPr>
        <w:t>的运行情况进行审计。</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第二十三条  建立风险控制机制。对可能使转贷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面临风险的情形启动预警机制：</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（一）因特殊情况导致转贷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使用期限超过</w:t>
      </w:r>
      <w:r>
        <w:rPr>
          <w:rFonts w:hint="eastAsia" w:ascii="仿宋" w:hAnsi="仿宋" w:eastAsia="仿宋"/>
          <w:sz w:val="32"/>
          <w:szCs w:val="32"/>
          <w:u w:val="none" w:color="auto"/>
          <w:lang w:val="en-US" w:eastAsia="zh-CN"/>
        </w:rPr>
        <w:t>10个工作日</w:t>
      </w:r>
      <w:r>
        <w:rPr>
          <w:rFonts w:hint="eastAsia" w:ascii="仿宋" w:hAnsi="仿宋" w:eastAsia="仿宋"/>
          <w:sz w:val="32"/>
          <w:szCs w:val="32"/>
          <w:u w:val="none" w:color="auto"/>
        </w:rPr>
        <w:t>的，合作银行须在收到转贷</w:t>
      </w:r>
      <w:r>
        <w:rPr>
          <w:rFonts w:hint="eastAsia" w:ascii="仿宋" w:hAnsi="仿宋" w:eastAsia="仿宋"/>
          <w:sz w:val="32"/>
          <w:szCs w:val="32"/>
          <w:u w:val="none" w:color="auto"/>
          <w:lang w:eastAsia="zh-CN"/>
        </w:rPr>
        <w:t>资金第</w:t>
      </w:r>
      <w:r>
        <w:rPr>
          <w:rFonts w:hint="eastAsia" w:ascii="仿宋" w:hAnsi="仿宋" w:eastAsia="仿宋"/>
          <w:sz w:val="32"/>
          <w:szCs w:val="32"/>
          <w:u w:val="none" w:color="auto"/>
          <w:lang w:val="en-US" w:eastAsia="zh-CN"/>
        </w:rPr>
        <w:t>9</w:t>
      </w:r>
      <w:r>
        <w:rPr>
          <w:rFonts w:hint="eastAsia" w:ascii="仿宋" w:hAnsi="仿宋" w:eastAsia="仿宋"/>
          <w:sz w:val="32"/>
          <w:szCs w:val="32"/>
          <w:u w:val="none" w:color="auto"/>
          <w:lang w:eastAsia="zh-CN"/>
        </w:rPr>
        <w:t>个工作日</w:t>
      </w:r>
      <w:r>
        <w:rPr>
          <w:rFonts w:hint="eastAsia" w:ascii="仿宋" w:hAnsi="仿宋" w:eastAsia="仿宋"/>
          <w:sz w:val="32"/>
          <w:szCs w:val="32"/>
          <w:u w:val="none" w:color="auto"/>
        </w:rPr>
        <w:t>内向清远市金融服务中心提出</w:t>
      </w:r>
      <w:r>
        <w:rPr>
          <w:rFonts w:hint="eastAsia" w:ascii="仿宋" w:hAnsi="仿宋" w:eastAsia="仿宋"/>
          <w:sz w:val="32"/>
          <w:szCs w:val="32"/>
          <w:u w:val="none" w:color="auto"/>
          <w:lang w:eastAsia="zh-CN"/>
        </w:rPr>
        <w:t>延期</w:t>
      </w:r>
      <w:r>
        <w:rPr>
          <w:rFonts w:hint="eastAsia" w:ascii="仿宋" w:hAnsi="仿宋" w:eastAsia="仿宋"/>
          <w:sz w:val="32"/>
          <w:szCs w:val="32"/>
          <w:u w:val="none" w:color="auto"/>
        </w:rPr>
        <w:t>申请。清远市金融服务中心收到</w:t>
      </w:r>
      <w:r>
        <w:rPr>
          <w:rFonts w:hint="eastAsia" w:ascii="仿宋" w:hAnsi="仿宋" w:eastAsia="仿宋"/>
          <w:sz w:val="32"/>
          <w:szCs w:val="32"/>
          <w:u w:val="none" w:color="auto"/>
          <w:lang w:eastAsia="zh-CN"/>
        </w:rPr>
        <w:t>延期</w:t>
      </w:r>
      <w:r>
        <w:rPr>
          <w:rFonts w:hint="eastAsia" w:ascii="仿宋" w:hAnsi="仿宋" w:eastAsia="仿宋"/>
          <w:sz w:val="32"/>
          <w:szCs w:val="32"/>
          <w:u w:val="none" w:color="auto"/>
        </w:rPr>
        <w:t>申请后报领导小组办公室，并根据领导小组办公室</w:t>
      </w:r>
      <w:r>
        <w:rPr>
          <w:rFonts w:hint="eastAsia" w:ascii="仿宋" w:hAnsi="仿宋" w:eastAsia="仿宋"/>
          <w:sz w:val="32"/>
          <w:szCs w:val="32"/>
          <w:u w:val="none" w:color="auto"/>
          <w:lang w:eastAsia="zh-CN"/>
        </w:rPr>
        <w:t>审批</w:t>
      </w:r>
      <w:r>
        <w:rPr>
          <w:rFonts w:hint="eastAsia" w:ascii="仿宋" w:hAnsi="仿宋" w:eastAsia="仿宋"/>
          <w:sz w:val="32"/>
          <w:szCs w:val="32"/>
          <w:u w:val="none" w:color="auto"/>
        </w:rPr>
        <w:t>意见处理。</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（三）当转贷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发生损失时启动损失资金合作银行业务叫停机制，并同时启动追偿机制。</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第二十四条  建立责任追究机制。</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（一）申请企业通过虚报、瞒报等方式骗取使用转贷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的，将其纳入市转贷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黑名单并上报市相关部门，相关不良记录纳入征信管理系统，2年内不再受理其转贷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使用申请。涉嫌犯罪的，移交司法机关依法追究法律责任。</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（二）合作银行及其工作人员有如下情形的，视情节轻重采取取消合作资格、追究法律责任、提请银行监管部门处理等措施：</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1.合作银行及其工作人员利用自身信息优势，私自向申请使用转贷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收取额外费用，或倒卖转贷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使用指标的。</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2.合作银行及其工作人员弄虚作假、申请审查把关不严、与企业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合谋骗取使用转贷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、挪用转贷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作其他用途、违反规定操作程序致使转贷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发生损失的。</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（三）合作银行对同意续贷且借款企业</w:t>
      </w:r>
      <w:r>
        <w:rPr>
          <w:rFonts w:hint="eastAsia" w:ascii="仿宋" w:hAnsi="仿宋" w:eastAsia="仿宋"/>
          <w:sz w:val="32"/>
          <w:szCs w:val="32"/>
          <w:u w:val="none" w:color="auto"/>
          <w:lang w:eastAsia="zh-CN"/>
        </w:rPr>
        <w:t>等</w:t>
      </w:r>
      <w:r>
        <w:rPr>
          <w:rFonts w:hint="eastAsia" w:ascii="仿宋" w:hAnsi="仿宋" w:eastAsia="仿宋"/>
          <w:sz w:val="32"/>
          <w:szCs w:val="32"/>
          <w:u w:val="none" w:color="auto"/>
        </w:rPr>
        <w:t>落实续贷条件的，承担按期足额续贷责任。对未按时足额续贷，导致转贷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不能及时归还的，承担对转贷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归还、补足的清偿责任。因合作银行过失和违约导致转贷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损失的，相关合作银行承担相应清偿责任，同时领导小组取消与该银行的合作关系。</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（四）对领导小组办公室及转贷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管理平台工作人员在转贷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管理活动中滥用职权、玩忽职守导致转贷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发生损失的，应依法追究相关单位和责任人的责任。</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第八章  收入管理</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第二十五条  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的资金服务费收入和存款利息收入作为非税收入上缴市财政。</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第九章  其  他</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第二十六条  领导小组可根据政策变化及市场需求情况向市政府申请停止运行转贷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项目。项目清算时，将转贷</w:t>
      </w:r>
      <w:r>
        <w:rPr>
          <w:rFonts w:hint="eastAsia" w:ascii="仿宋" w:hAnsi="仿宋" w:eastAsia="仿宋"/>
          <w:sz w:val="32"/>
          <w:szCs w:val="32"/>
          <w:u w:val="none" w:color="auto"/>
          <w:lang w:eastAsia="zh-CN"/>
        </w:rPr>
        <w:t>资金</w:t>
      </w:r>
      <w:r>
        <w:rPr>
          <w:rFonts w:hint="eastAsia" w:ascii="仿宋" w:hAnsi="仿宋" w:eastAsia="仿宋"/>
          <w:sz w:val="32"/>
          <w:szCs w:val="32"/>
          <w:u w:val="none" w:color="auto"/>
        </w:rPr>
        <w:t>缴回市财政局。</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b w:val="0"/>
          <w:bCs w:val="0"/>
          <w:sz w:val="32"/>
          <w:szCs w:val="32"/>
          <w:u w:val="none" w:color="auto"/>
        </w:rPr>
      </w:pPr>
      <w:r>
        <w:rPr>
          <w:rFonts w:hint="eastAsia" w:ascii="仿宋" w:hAnsi="仿宋" w:eastAsia="仿宋"/>
          <w:b w:val="0"/>
          <w:bCs w:val="0"/>
          <w:sz w:val="32"/>
          <w:szCs w:val="32"/>
          <w:u w:val="none" w:color="auto"/>
        </w:rPr>
        <w:t>第二十七条  对申请转贷</w:t>
      </w:r>
      <w:r>
        <w:rPr>
          <w:rFonts w:hint="eastAsia" w:ascii="仿宋" w:hAnsi="仿宋" w:eastAsia="仿宋"/>
          <w:b w:val="0"/>
          <w:bCs w:val="0"/>
          <w:sz w:val="32"/>
          <w:szCs w:val="32"/>
          <w:u w:val="none" w:color="auto"/>
          <w:lang w:eastAsia="zh-CN"/>
        </w:rPr>
        <w:t>资金</w:t>
      </w:r>
      <w:r>
        <w:rPr>
          <w:rFonts w:hint="eastAsia" w:ascii="仿宋" w:hAnsi="仿宋" w:eastAsia="仿宋"/>
          <w:b w:val="0"/>
          <w:bCs w:val="0"/>
          <w:sz w:val="32"/>
          <w:szCs w:val="32"/>
          <w:u w:val="none" w:color="auto"/>
        </w:rPr>
        <w:t>的企业</w:t>
      </w:r>
      <w:r>
        <w:rPr>
          <w:rFonts w:hint="eastAsia" w:ascii="仿宋" w:hAnsi="仿宋" w:eastAsia="仿宋"/>
          <w:b w:val="0"/>
          <w:bCs w:val="0"/>
          <w:sz w:val="32"/>
          <w:szCs w:val="32"/>
          <w:u w:val="none" w:color="auto"/>
          <w:lang w:eastAsia="zh-CN"/>
        </w:rPr>
        <w:t>等</w:t>
      </w:r>
      <w:r>
        <w:rPr>
          <w:rFonts w:hint="eastAsia" w:ascii="仿宋" w:hAnsi="仿宋" w:eastAsia="仿宋"/>
          <w:b w:val="0"/>
          <w:bCs w:val="0"/>
          <w:sz w:val="32"/>
          <w:szCs w:val="32"/>
          <w:u w:val="none" w:color="auto"/>
        </w:rPr>
        <w:t>，在办理贷款授信业务过程中涉及的不动产、动产抵（质）押事项时，市自然资源、</w:t>
      </w:r>
      <w:r>
        <w:rPr>
          <w:rFonts w:hint="eastAsia" w:ascii="仿宋" w:hAnsi="仿宋" w:eastAsia="仿宋"/>
          <w:b w:val="0"/>
          <w:bCs w:val="0"/>
          <w:sz w:val="32"/>
          <w:szCs w:val="32"/>
          <w:u w:val="none" w:color="auto"/>
          <w:lang w:eastAsia="zh-CN"/>
        </w:rPr>
        <w:t>住建</w:t>
      </w:r>
      <w:r>
        <w:rPr>
          <w:rFonts w:hint="eastAsia" w:ascii="仿宋" w:hAnsi="仿宋" w:eastAsia="仿宋"/>
          <w:b w:val="0"/>
          <w:bCs w:val="0"/>
          <w:sz w:val="32"/>
          <w:szCs w:val="32"/>
          <w:u w:val="none" w:color="auto"/>
        </w:rPr>
        <w:t>、公安和市场监管等相关管理部门开辟绿色快捷通道，予以优先办理。</w:t>
      </w:r>
    </w:p>
    <w:p>
      <w:pPr>
        <w:keepNext w:val="0"/>
        <w:keepLines w:val="0"/>
        <w:pageBreakBefore w:val="0"/>
        <w:widowControl w:val="0"/>
        <w:kinsoku/>
        <w:overflowPunct/>
        <w:topLinePunct w:val="0"/>
        <w:autoSpaceDE/>
        <w:autoSpaceDN/>
        <w:bidi w:val="0"/>
        <w:adjustRightInd/>
        <w:snapToGrid/>
        <w:spacing w:line="660" w:lineRule="exact"/>
        <w:ind w:left="0" w:leftChars="0" w:right="0" w:rightChars="0" w:firstLine="0" w:firstLineChars="0"/>
        <w:jc w:val="center"/>
        <w:textAlignment w:val="auto"/>
        <w:rPr>
          <w:rFonts w:hint="eastAsia" w:ascii="仿宋" w:hAnsi="仿宋" w:eastAsia="仿宋"/>
          <w:b/>
          <w:bCs/>
          <w:sz w:val="32"/>
          <w:szCs w:val="32"/>
          <w:u w:val="none" w:color="auto"/>
        </w:rPr>
      </w:pPr>
      <w:r>
        <w:rPr>
          <w:rFonts w:hint="eastAsia" w:ascii="仿宋" w:hAnsi="仿宋" w:eastAsia="仿宋"/>
          <w:b/>
          <w:bCs/>
          <w:sz w:val="32"/>
          <w:szCs w:val="32"/>
          <w:u w:val="none" w:color="auto"/>
        </w:rPr>
        <w:t>第十章  附  则</w:t>
      </w:r>
    </w:p>
    <w:p>
      <w:pPr>
        <w:keepNext w:val="0"/>
        <w:keepLines w:val="0"/>
        <w:pageBreakBefore w:val="0"/>
        <w:widowControl w:val="0"/>
        <w:kinsoku/>
        <w:overflowPunct/>
        <w:topLinePunct w:val="0"/>
        <w:autoSpaceDE/>
        <w:autoSpaceDN/>
        <w:bidi w:val="0"/>
        <w:adjustRightInd/>
        <w:snapToGrid/>
        <w:spacing w:line="660" w:lineRule="exact"/>
        <w:ind w:firstLine="640" w:firstLineChars="20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第二十</w:t>
      </w:r>
      <w:r>
        <w:rPr>
          <w:rFonts w:hint="eastAsia" w:ascii="仿宋" w:hAnsi="仿宋" w:eastAsia="仿宋"/>
          <w:sz w:val="32"/>
          <w:szCs w:val="32"/>
          <w:u w:val="none" w:color="auto"/>
          <w:lang w:eastAsia="zh-CN"/>
        </w:rPr>
        <w:t>八</w:t>
      </w:r>
      <w:r>
        <w:rPr>
          <w:rFonts w:hint="eastAsia" w:ascii="仿宋" w:hAnsi="仿宋" w:eastAsia="仿宋"/>
          <w:sz w:val="32"/>
          <w:szCs w:val="32"/>
          <w:u w:val="none" w:color="auto"/>
        </w:rPr>
        <w:t>条  本办法由清远市金融工作局负责解释。</w:t>
      </w:r>
    </w:p>
    <w:p>
      <w:pPr>
        <w:keepNext w:val="0"/>
        <w:keepLines w:val="0"/>
        <w:pageBreakBefore w:val="0"/>
        <w:widowControl w:val="0"/>
        <w:kinsoku/>
        <w:overflowPunct/>
        <w:topLinePunct w:val="0"/>
        <w:autoSpaceDE/>
        <w:autoSpaceDN/>
        <w:bidi w:val="0"/>
        <w:adjustRightInd/>
        <w:snapToGrid/>
        <w:spacing w:line="660" w:lineRule="exact"/>
        <w:ind w:left="160" w:leftChars="76" w:firstLine="480" w:firstLineChars="150"/>
        <w:textAlignment w:val="auto"/>
        <w:rPr>
          <w:rFonts w:hint="eastAsia" w:ascii="仿宋" w:hAnsi="仿宋" w:eastAsia="仿宋"/>
          <w:sz w:val="32"/>
          <w:szCs w:val="32"/>
          <w:u w:val="none" w:color="auto"/>
        </w:rPr>
      </w:pPr>
      <w:r>
        <w:rPr>
          <w:rFonts w:hint="eastAsia" w:ascii="仿宋" w:hAnsi="仿宋" w:eastAsia="仿宋"/>
          <w:sz w:val="32"/>
          <w:szCs w:val="32"/>
          <w:u w:val="none" w:color="auto"/>
        </w:rPr>
        <w:t>第</w:t>
      </w:r>
      <w:r>
        <w:rPr>
          <w:rFonts w:hint="eastAsia" w:ascii="仿宋" w:hAnsi="仿宋" w:eastAsia="仿宋"/>
          <w:sz w:val="32"/>
          <w:szCs w:val="32"/>
          <w:u w:val="none" w:color="auto"/>
          <w:lang w:eastAsia="zh-CN"/>
        </w:rPr>
        <w:t>二十九</w:t>
      </w:r>
      <w:r>
        <w:rPr>
          <w:rFonts w:hint="eastAsia" w:ascii="仿宋" w:hAnsi="仿宋" w:eastAsia="仿宋"/>
          <w:sz w:val="32"/>
          <w:szCs w:val="32"/>
          <w:u w:val="none" w:color="auto"/>
        </w:rPr>
        <w:t>条  本办法自发布之日起实施,有效期</w:t>
      </w:r>
      <w:r>
        <w:rPr>
          <w:rFonts w:hint="eastAsia" w:ascii="仿宋" w:hAnsi="仿宋" w:eastAsia="仿宋"/>
          <w:sz w:val="32"/>
          <w:szCs w:val="32"/>
          <w:u w:val="none" w:color="auto"/>
          <w:lang w:eastAsia="zh-CN"/>
        </w:rPr>
        <w:t>五年。</w:t>
      </w:r>
    </w:p>
    <w:p>
      <w:pPr>
        <w:keepNext w:val="0"/>
        <w:keepLines w:val="0"/>
        <w:pageBreakBefore w:val="0"/>
        <w:widowControl w:val="0"/>
        <w:kinsoku/>
        <w:overflowPunct/>
        <w:topLinePunct w:val="0"/>
        <w:autoSpaceDE/>
        <w:autoSpaceDN/>
        <w:bidi w:val="0"/>
        <w:adjustRightInd/>
        <w:snapToGrid/>
        <w:spacing w:line="660" w:lineRule="exact"/>
        <w:textAlignment w:val="auto"/>
        <w:rPr>
          <w:rFonts w:hint="eastAsia" w:eastAsia="仿宋_GB2312"/>
          <w:sz w:val="32"/>
          <w:szCs w:val="21"/>
          <w:u w:val="none" w:color="auto"/>
        </w:rPr>
      </w:pPr>
    </w:p>
    <w:p>
      <w:pPr>
        <w:keepNext w:val="0"/>
        <w:keepLines w:val="0"/>
        <w:pageBreakBefore w:val="0"/>
        <w:widowControl w:val="0"/>
        <w:kinsoku/>
        <w:wordWrap w:val="0"/>
        <w:overflowPunct/>
        <w:topLinePunct w:val="0"/>
        <w:autoSpaceDE/>
        <w:autoSpaceDN/>
        <w:bidi w:val="0"/>
        <w:adjustRightInd/>
        <w:snapToGrid/>
        <w:spacing w:line="660" w:lineRule="exact"/>
        <w:jc w:val="right"/>
        <w:textAlignment w:val="auto"/>
        <w:rPr>
          <w:rFonts w:hint="eastAsia"/>
          <w:sz w:val="32"/>
          <w:szCs w:val="32"/>
          <w:u w:val="none" w:color="auto"/>
        </w:rPr>
      </w:pPr>
    </w:p>
    <w:p>
      <w:pPr>
        <w:keepNext w:val="0"/>
        <w:keepLines w:val="0"/>
        <w:pageBreakBefore w:val="0"/>
        <w:widowControl w:val="0"/>
        <w:kinsoku/>
        <w:overflowPunct/>
        <w:topLinePunct w:val="0"/>
        <w:autoSpaceDE/>
        <w:autoSpaceDN/>
        <w:bidi w:val="0"/>
        <w:adjustRightInd/>
        <w:snapToGrid/>
        <w:spacing w:line="660" w:lineRule="exact"/>
        <w:textAlignment w:val="auto"/>
        <w:rPr>
          <w:u w:val="none" w:color="auto"/>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Align="top"/>
      <w:pBdr>
        <w:top w:val="none" w:color="auto" w:sz="0" w:space="0"/>
        <w:left w:val="none" w:color="auto" w:sz="0" w:space="0"/>
        <w:bottom w:val="none" w:color="auto" w:sz="0" w:space="0"/>
        <w:right w:val="none" w:color="auto" w:sz="0" w:space="0"/>
        <w:between w:val="none" w:color="auto" w:sz="0" w:space="0"/>
      </w:pBdr>
      <w:spacing w:after="0" w:afterLines="0"/>
    </w:pPr>
    <w:r>
      <w:fldChar w:fldCharType="begin"/>
    </w:r>
    <w:r>
      <w:rPr>
        <w:rStyle w:val="6"/>
      </w:rPr>
      <w:instrText xml:space="preserve"> PAGE  </w:instrText>
    </w:r>
    <w:r>
      <w:fldChar w:fldCharType="separate"/>
    </w:r>
    <w:r>
      <w:rPr>
        <w:rStyle w:val="6"/>
      </w:rPr>
      <w:t>1</w:t>
    </w:r>
    <w: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312990"/>
    <w:rsid w:val="01D722BB"/>
    <w:rsid w:val="052A2FEA"/>
    <w:rsid w:val="0B0D5C5C"/>
    <w:rsid w:val="0CBF3708"/>
    <w:rsid w:val="1565705C"/>
    <w:rsid w:val="23FA7A14"/>
    <w:rsid w:val="26EE3816"/>
    <w:rsid w:val="2C580101"/>
    <w:rsid w:val="402F75F6"/>
    <w:rsid w:val="4776663A"/>
    <w:rsid w:val="4DCD2E03"/>
    <w:rsid w:val="5A8D1F9F"/>
    <w:rsid w:val="5D834753"/>
    <w:rsid w:val="5D885153"/>
    <w:rsid w:val="5FB74208"/>
    <w:rsid w:val="660C76F6"/>
    <w:rsid w:val="680B06CF"/>
    <w:rsid w:val="703536D6"/>
    <w:rsid w:val="79BF35E1"/>
    <w:rsid w:val="7A452906"/>
    <w:rsid w:val="7C7C5B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character" w:styleId="6">
    <w:name w:val="page number"/>
    <w:basedOn w:val="5"/>
    <w:qFormat/>
    <w:uiPriority w:val="0"/>
    <w:rPr>
      <w:rFonts w:ascii="Times New Roman" w:hAnsi="Times New Roman" w:eastAsia="宋体"/>
    </w:rPr>
  </w:style>
  <w:style w:type="character" w:customStyle="1" w:styleId="7">
    <w:name w:val="无间隔 Char Char"/>
    <w:basedOn w:val="5"/>
    <w:link w:val="8"/>
    <w:qFormat/>
    <w:uiPriority w:val="0"/>
    <w:rPr>
      <w:rFonts w:ascii="Calibri" w:hAnsi="Calibri" w:eastAsia="宋体"/>
      <w:sz w:val="22"/>
      <w:szCs w:val="22"/>
      <w:lang w:val="en-US" w:eastAsia="zh-CN" w:bidi="ar-SA"/>
    </w:rPr>
  </w:style>
  <w:style w:type="paragraph" w:styleId="8">
    <w:name w:val="No Spacing"/>
    <w:link w:val="7"/>
    <w:qFormat/>
    <w:uiPriority w:val="0"/>
    <w:rPr>
      <w:rFonts w:ascii="Calibri" w:hAnsi="Calibri" w:eastAsia="宋体" w:cstheme="minorBidi"/>
      <w:sz w:val="22"/>
      <w:szCs w:val="22"/>
      <w:lang w:val="en-US" w:eastAsia="zh-CN" w:bidi="ar-SA"/>
    </w:rPr>
  </w:style>
  <w:style w:type="character" w:customStyle="1" w:styleId="9">
    <w:name w:val="页眉 Char Char"/>
    <w:basedOn w:val="5"/>
    <w:link w:val="10"/>
    <w:qFormat/>
    <w:uiPriority w:val="0"/>
    <w:rPr>
      <w:rFonts w:ascii="Times New Roman" w:hAnsi="Times New Roman" w:eastAsia="宋体"/>
      <w:kern w:val="2"/>
      <w:sz w:val="18"/>
      <w:szCs w:val="18"/>
    </w:rPr>
  </w:style>
  <w:style w:type="paragraph" w:customStyle="1" w:styleId="10">
    <w:name w:val="页眉 New"/>
    <w:basedOn w:val="1"/>
    <w:link w:val="9"/>
    <w:qFormat/>
    <w:uiPriority w:val="0"/>
    <w:pPr>
      <w:pBdr>
        <w:bottom w:val="single" w:color="auto" w:sz="6" w:space="1"/>
      </w:pBdr>
      <w:tabs>
        <w:tab w:val="center" w:pos="4153"/>
        <w:tab w:val="right" w:pos="8306"/>
      </w:tabs>
      <w:snapToGrid w:val="0"/>
      <w:jc w:val="center"/>
    </w:pPr>
    <w:rPr>
      <w:kern w:val="2"/>
      <w:sz w:val="18"/>
      <w:szCs w:val="18"/>
    </w:rPr>
  </w:style>
  <w:style w:type="character" w:customStyle="1" w:styleId="11">
    <w:name w:val="页脚 Char Char"/>
    <w:basedOn w:val="5"/>
    <w:link w:val="12"/>
    <w:qFormat/>
    <w:uiPriority w:val="0"/>
    <w:rPr>
      <w:rFonts w:ascii="Times New Roman" w:hAnsi="Times New Roman" w:eastAsia="宋体"/>
      <w:kern w:val="2"/>
      <w:sz w:val="18"/>
      <w:szCs w:val="18"/>
    </w:rPr>
  </w:style>
  <w:style w:type="paragraph" w:customStyle="1" w:styleId="12">
    <w:name w:val="页脚 New"/>
    <w:basedOn w:val="1"/>
    <w:link w:val="11"/>
    <w:qFormat/>
    <w:uiPriority w:val="0"/>
    <w:pPr>
      <w:tabs>
        <w:tab w:val="center" w:pos="4153"/>
        <w:tab w:val="right" w:pos="8306"/>
      </w:tabs>
      <w:snapToGrid w:val="0"/>
      <w:jc w:val="left"/>
    </w:pPr>
    <w:rPr>
      <w:kern w:val="2"/>
      <w:sz w:val="18"/>
      <w:szCs w:val="18"/>
    </w:rPr>
  </w:style>
  <w:style w:type="character" w:customStyle="1" w:styleId="13">
    <w:name w:val="页码 New"/>
    <w:basedOn w:val="5"/>
    <w:qFormat/>
    <w:uiPriority w:val="0"/>
    <w:rPr>
      <w:rFonts w:ascii="Times New Roman" w:hAnsi="Times New Roman" w:eastAsia="宋体"/>
    </w:rPr>
  </w:style>
  <w:style w:type="paragraph" w:customStyle="1" w:styleId="14">
    <w:name w:val="正文 New"/>
    <w:qFormat/>
    <w:uiPriority w:val="0"/>
    <w:pPr>
      <w:widowControl w:val="0"/>
      <w:jc w:val="both"/>
    </w:pPr>
    <w:rPr>
      <w:rFonts w:ascii="Times New Roman" w:hAnsi="Times New Roman" w:eastAsia="宋体" w:cstheme="minorBidi"/>
      <w:kern w:val="2"/>
      <w:sz w:val="21"/>
      <w:lang w:val="en-US" w:eastAsia="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72</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2021-10-09T03:07:00Z</dcterms:created>
  <dc:creator>范剑锋</dc:creator>
  <cp:lastModifiedBy>范剑锋</cp:lastModifiedBy>
  <cp:lastPrinted>2021-12-03T03:09:17Z</cp:lastPrinted>
  <dcterms:modified xsi:type="dcterms:W3CDTF">2021-12-03T08:16:11Z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ies>
</file>