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left"/>
        <w:rPr>
          <w:rFonts w:hint="eastAsia" w:ascii="仿宋" w:hAnsi="仿宋" w:eastAsia="仿宋" w:cs="仿宋"/>
          <w:b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 w:val="0"/>
          <w:sz w:val="32"/>
          <w:szCs w:val="32"/>
          <w:lang w:eastAsia="zh-CN"/>
        </w:rPr>
        <w:t>附件</w:t>
      </w:r>
      <w:r>
        <w:rPr>
          <w:rFonts w:hint="eastAsia" w:ascii="仿宋" w:hAnsi="仿宋" w:eastAsia="仿宋" w:cs="仿宋"/>
          <w:b/>
          <w:bCs w:val="0"/>
          <w:sz w:val="32"/>
          <w:szCs w:val="32"/>
          <w:lang w:val="en-US" w:eastAsia="zh-CN"/>
        </w:rPr>
        <w:t>3</w:t>
      </w:r>
    </w:p>
    <w:p>
      <w:pPr>
        <w:spacing w:line="520" w:lineRule="exact"/>
        <w:jc w:val="center"/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</w:pPr>
    </w:p>
    <w:p>
      <w:pPr>
        <w:spacing w:line="520" w:lineRule="exact"/>
        <w:jc w:val="center"/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</w:pPr>
    </w:p>
    <w:p>
      <w:pPr>
        <w:spacing w:line="520" w:lineRule="exact"/>
        <w:jc w:val="center"/>
        <w:rPr>
          <w:rFonts w:hint="eastAsia" w:ascii="仿宋_GB2312" w:eastAsia="仿宋_GB2312"/>
          <w:b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  <w:lang w:eastAsia="zh-CN"/>
        </w:rPr>
        <w:t>市</w:t>
      </w: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级财政项目支出绩效自评报告</w:t>
      </w:r>
    </w:p>
    <w:p>
      <w:pPr>
        <w:spacing w:line="520" w:lineRule="exact"/>
        <w:ind w:firstLine="660" w:firstLineChars="150"/>
        <w:rPr>
          <w:rFonts w:hint="eastAsia" w:ascii="仿宋_GB2312" w:eastAsia="仿宋_GB2312"/>
          <w:sz w:val="44"/>
          <w:szCs w:val="44"/>
        </w:rPr>
      </w:pPr>
      <w:r>
        <w:rPr>
          <w:rFonts w:hint="eastAsia" w:ascii="仿宋_GB2312" w:eastAsia="仿宋_GB2312"/>
          <w:sz w:val="44"/>
          <w:szCs w:val="44"/>
        </w:rPr>
        <w:t xml:space="preserve">    </w:t>
      </w:r>
    </w:p>
    <w:p>
      <w:pPr>
        <w:spacing w:line="520" w:lineRule="exact"/>
        <w:ind w:firstLine="660" w:firstLineChars="150"/>
        <w:rPr>
          <w:rFonts w:hint="eastAsia" w:ascii="仿宋_GB2312" w:eastAsia="仿宋_GB2312"/>
          <w:sz w:val="44"/>
          <w:szCs w:val="44"/>
        </w:rPr>
      </w:pPr>
    </w:p>
    <w:p>
      <w:pPr>
        <w:spacing w:line="520" w:lineRule="exact"/>
        <w:ind w:firstLine="660" w:firstLineChars="150"/>
        <w:rPr>
          <w:rFonts w:hint="eastAsia" w:ascii="仿宋_GB2312" w:eastAsia="仿宋_GB2312"/>
          <w:sz w:val="44"/>
          <w:szCs w:val="44"/>
        </w:rPr>
      </w:pPr>
      <w:r>
        <w:rPr>
          <w:rFonts w:hint="eastAsia" w:ascii="仿宋_GB2312" w:eastAsia="仿宋_GB2312"/>
          <w:sz w:val="44"/>
          <w:szCs w:val="44"/>
        </w:rPr>
        <w:t xml:space="preserve">    </w:t>
      </w:r>
    </w:p>
    <w:p>
      <w:pPr>
        <w:spacing w:line="520" w:lineRule="exact"/>
        <w:ind w:firstLine="660" w:firstLineChars="150"/>
        <w:rPr>
          <w:rFonts w:hint="eastAsia" w:ascii="仿宋_GB2312" w:eastAsia="仿宋_GB2312"/>
          <w:sz w:val="44"/>
          <w:szCs w:val="44"/>
        </w:rPr>
      </w:pPr>
    </w:p>
    <w:p>
      <w:pPr>
        <w:spacing w:line="520" w:lineRule="exact"/>
        <w:ind w:firstLine="450" w:firstLineChars="15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 xml:space="preserve">     </w:t>
      </w:r>
    </w:p>
    <w:p>
      <w:pPr>
        <w:spacing w:line="520" w:lineRule="exact"/>
        <w:ind w:firstLine="450" w:firstLineChars="150"/>
        <w:rPr>
          <w:rFonts w:hint="eastAsia" w:ascii="仿宋_GB2312" w:eastAsia="仿宋_GB2312"/>
          <w:sz w:val="30"/>
          <w:szCs w:val="30"/>
        </w:rPr>
      </w:pPr>
    </w:p>
    <w:p>
      <w:pPr>
        <w:spacing w:line="520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</w:t>
      </w:r>
      <w:r>
        <w:rPr>
          <w:rFonts w:hint="eastAsia" w:ascii="仿宋_GB2312" w:eastAsia="仿宋_GB2312"/>
          <w:b/>
          <w:sz w:val="32"/>
          <w:szCs w:val="32"/>
        </w:rPr>
        <w:t>项目名称：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社区康园中心和居家托养补助经费</w:t>
      </w:r>
    </w:p>
    <w:p>
      <w:pPr>
        <w:spacing w:line="520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</w:t>
      </w:r>
    </w:p>
    <w:p>
      <w:pPr>
        <w:spacing w:line="520" w:lineRule="exact"/>
        <w:ind w:firstLine="1606" w:firstLineChars="5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  <w:lang w:eastAsia="zh-CN"/>
        </w:rPr>
        <w:t>市</w:t>
      </w:r>
      <w:r>
        <w:rPr>
          <w:rFonts w:hint="eastAsia" w:ascii="仿宋_GB2312" w:eastAsia="仿宋_GB2312"/>
          <w:b/>
          <w:sz w:val="32"/>
          <w:szCs w:val="32"/>
        </w:rPr>
        <w:t>级</w:t>
      </w:r>
      <w:r>
        <w:rPr>
          <w:rFonts w:hint="eastAsia" w:ascii="仿宋_GB2312" w:eastAsia="仿宋_GB2312"/>
          <w:b/>
          <w:sz w:val="32"/>
          <w:szCs w:val="32"/>
          <w:lang w:eastAsia="zh-CN"/>
        </w:rPr>
        <w:t>预算</w:t>
      </w:r>
      <w:r>
        <w:rPr>
          <w:rFonts w:hint="eastAsia" w:ascii="仿宋_GB2312" w:eastAsia="仿宋_GB2312"/>
          <w:b/>
          <w:sz w:val="32"/>
          <w:szCs w:val="32"/>
        </w:rPr>
        <w:t>部门：</w:t>
      </w:r>
      <w:r>
        <w:rPr>
          <w:rFonts w:hint="eastAsia" w:ascii="仿宋_GB2312" w:eastAsia="仿宋_GB2312"/>
          <w:sz w:val="32"/>
          <w:szCs w:val="32"/>
        </w:rPr>
        <w:t>（公章）</w:t>
      </w:r>
      <w:r>
        <w:rPr>
          <w:rFonts w:hint="eastAsia" w:ascii="仿宋_GB2312" w:eastAsia="仿宋_GB2312"/>
          <w:sz w:val="32"/>
          <w:szCs w:val="32"/>
          <w:lang w:eastAsia="zh-CN"/>
        </w:rPr>
        <w:t>清远市残疾人联合会</w:t>
      </w:r>
    </w:p>
    <w:p>
      <w:pPr>
        <w:spacing w:line="520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</w:t>
      </w:r>
    </w:p>
    <w:p>
      <w:pPr>
        <w:spacing w:line="520" w:lineRule="exact"/>
        <w:ind w:firstLine="1606" w:firstLineChars="5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b/>
          <w:sz w:val="32"/>
          <w:szCs w:val="32"/>
        </w:rPr>
        <w:t>填报人姓名：</w:t>
      </w:r>
      <w:r>
        <w:rPr>
          <w:rFonts w:hint="eastAsia" w:ascii="仿宋_GB2312" w:eastAsia="仿宋_GB2312"/>
          <w:sz w:val="32"/>
          <w:szCs w:val="32"/>
          <w:lang w:eastAsia="zh-CN"/>
        </w:rPr>
        <w:t>郭清梅</w:t>
      </w:r>
    </w:p>
    <w:p>
      <w:pPr>
        <w:spacing w:line="520" w:lineRule="exact"/>
        <w:ind w:firstLine="1600" w:firstLineChars="500"/>
        <w:rPr>
          <w:rFonts w:hint="eastAsia" w:ascii="仿宋_GB2312" w:eastAsia="仿宋_GB2312"/>
          <w:sz w:val="32"/>
          <w:szCs w:val="32"/>
          <w:lang w:eastAsia="zh-CN"/>
        </w:rPr>
      </w:pPr>
    </w:p>
    <w:p>
      <w:pPr>
        <w:spacing w:line="520" w:lineRule="exact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 xml:space="preserve">          </w:t>
      </w:r>
      <w:r>
        <w:rPr>
          <w:rFonts w:hint="eastAsia" w:ascii="仿宋_GB2312" w:eastAsia="仿宋_GB2312"/>
          <w:b/>
          <w:sz w:val="32"/>
          <w:szCs w:val="32"/>
        </w:rPr>
        <w:t>联系电话：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0763-3373034</w:t>
      </w:r>
    </w:p>
    <w:p>
      <w:pPr>
        <w:spacing w:line="520" w:lineRule="exact"/>
        <w:rPr>
          <w:rFonts w:hint="eastAsia" w:ascii="仿宋_GB2312" w:eastAsia="仿宋_GB2312"/>
          <w:sz w:val="32"/>
          <w:szCs w:val="32"/>
          <w:lang w:val="en-US" w:eastAsia="zh-CN"/>
        </w:rPr>
      </w:pPr>
    </w:p>
    <w:p>
      <w:pPr>
        <w:spacing w:line="520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</w:t>
      </w:r>
      <w:r>
        <w:rPr>
          <w:rFonts w:hint="eastAsia" w:ascii="仿宋_GB2312" w:eastAsia="仿宋_GB2312"/>
          <w:b/>
          <w:sz w:val="32"/>
          <w:szCs w:val="32"/>
        </w:rPr>
        <w:t xml:space="preserve"> 填报日期：</w:t>
      </w:r>
      <w:r>
        <w:rPr>
          <w:rFonts w:hint="eastAsia" w:ascii="仿宋_GB2312" w:eastAsia="仿宋_GB2312"/>
          <w:sz w:val="32"/>
          <w:szCs w:val="32"/>
        </w:rPr>
        <w:t>201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spacing w:line="52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52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52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52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52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52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52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520" w:lineRule="exact"/>
        <w:jc w:val="center"/>
        <w:rPr>
          <w:rFonts w:hint="eastAsia" w:ascii="宋体" w:hAnsi="宋体"/>
          <w:sz w:val="44"/>
          <w:szCs w:val="44"/>
        </w:rPr>
      </w:pPr>
      <w:r>
        <w:rPr>
          <w:rFonts w:hint="eastAsia" w:ascii="宋体" w:hAnsi="宋体"/>
          <w:sz w:val="44"/>
          <w:szCs w:val="44"/>
          <w:lang w:eastAsia="zh-CN"/>
        </w:rPr>
        <w:t>市</w:t>
      </w:r>
      <w:r>
        <w:rPr>
          <w:rFonts w:hint="eastAsia" w:ascii="宋体" w:hAnsi="宋体"/>
          <w:sz w:val="44"/>
          <w:szCs w:val="44"/>
        </w:rPr>
        <w:t>级财政项目支出绩效自评报告</w:t>
      </w:r>
    </w:p>
    <w:p>
      <w:pPr>
        <w:spacing w:line="520" w:lineRule="exact"/>
        <w:jc w:val="center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（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社区康园中心和居家托养补助经费</w:t>
      </w:r>
      <w:r>
        <w:rPr>
          <w:rFonts w:hint="eastAsia" w:ascii="仿宋_GB2312" w:hAnsi="宋体" w:eastAsia="仿宋_GB2312"/>
          <w:sz w:val="32"/>
          <w:szCs w:val="32"/>
        </w:rPr>
        <w:t>）</w:t>
      </w:r>
    </w:p>
    <w:p>
      <w:pPr>
        <w:spacing w:line="520" w:lineRule="exact"/>
        <w:ind w:firstLine="645"/>
        <w:rPr>
          <w:rFonts w:hint="eastAsia" w:ascii="仿宋_GB2312" w:eastAsia="仿宋_GB2312"/>
          <w:sz w:val="32"/>
          <w:szCs w:val="32"/>
        </w:rPr>
      </w:pPr>
    </w:p>
    <w:p>
      <w:pPr>
        <w:numPr>
          <w:ilvl w:val="0"/>
          <w:numId w:val="1"/>
        </w:numPr>
        <w:ind w:firstLine="640" w:firstLineChars="200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基本情况</w:t>
      </w:r>
    </w:p>
    <w:p>
      <w:pPr>
        <w:numPr>
          <w:ilvl w:val="0"/>
          <w:numId w:val="2"/>
        </w:numPr>
        <w:ind w:left="596" w:leftChars="0" w:firstLine="0" w:firstLineChars="0"/>
        <w:rPr>
          <w:rFonts w:hint="eastAsia" w:ascii="楷体" w:hAnsi="楷体" w:eastAsia="楷体" w:cs="楷体"/>
          <w:b w:val="0"/>
          <w:bCs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 w:val="0"/>
          <w:bCs/>
          <w:sz w:val="32"/>
          <w:szCs w:val="32"/>
          <w:lang w:val="en-US" w:eastAsia="zh-CN"/>
        </w:rPr>
        <w:t>项目资金概况</w:t>
      </w:r>
    </w:p>
    <w:p>
      <w:pPr>
        <w:outlineLvl w:val="0"/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Cs/>
          <w:sz w:val="30"/>
          <w:szCs w:val="30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b w:val="0"/>
          <w:i w:val="0"/>
          <w:snapToGrid/>
          <w:color w:val="000000"/>
          <w:sz w:val="30"/>
          <w:szCs w:val="30"/>
          <w:u w:val="none"/>
          <w:lang w:eastAsia="zh-CN"/>
        </w:rPr>
        <w:t>根据《广东省残联关于印发</w:t>
      </w:r>
      <w:r>
        <w:rPr>
          <w:rFonts w:hint="eastAsia" w:ascii="仿宋" w:hAnsi="仿宋" w:eastAsia="仿宋" w:cs="仿宋"/>
          <w:b w:val="0"/>
          <w:i w:val="0"/>
          <w:snapToGrid/>
          <w:color w:val="000000"/>
          <w:sz w:val="30"/>
          <w:szCs w:val="30"/>
          <w:u w:val="none"/>
          <w:lang w:val="en-US" w:eastAsia="zh-CN"/>
        </w:rPr>
        <w:t>&lt;</w:t>
      </w:r>
      <w:r>
        <w:rPr>
          <w:rFonts w:hint="eastAsia" w:ascii="仿宋" w:hAnsi="仿宋" w:eastAsia="仿宋" w:cs="仿宋"/>
          <w:b w:val="0"/>
          <w:i w:val="0"/>
          <w:snapToGrid/>
          <w:color w:val="000000"/>
          <w:sz w:val="30"/>
          <w:szCs w:val="30"/>
          <w:u w:val="none"/>
          <w:lang w:eastAsia="zh-CN"/>
        </w:rPr>
        <w:t>2018年全省社区康园中心项目实施方案</w:t>
      </w:r>
      <w:r>
        <w:rPr>
          <w:rFonts w:hint="eastAsia" w:ascii="仿宋" w:hAnsi="仿宋" w:eastAsia="仿宋" w:cs="仿宋"/>
          <w:b w:val="0"/>
          <w:i w:val="0"/>
          <w:snapToGrid/>
          <w:color w:val="000000"/>
          <w:sz w:val="30"/>
          <w:szCs w:val="30"/>
          <w:u w:val="none"/>
          <w:lang w:val="en-US" w:eastAsia="zh-CN"/>
        </w:rPr>
        <w:t>&gt;</w:t>
      </w:r>
      <w:r>
        <w:rPr>
          <w:rFonts w:hint="eastAsia" w:ascii="仿宋" w:hAnsi="仿宋" w:eastAsia="仿宋" w:cs="仿宋"/>
          <w:b w:val="0"/>
          <w:i w:val="0"/>
          <w:snapToGrid/>
          <w:color w:val="000000"/>
          <w:sz w:val="30"/>
          <w:szCs w:val="30"/>
          <w:u w:val="none"/>
          <w:lang w:eastAsia="zh-CN"/>
        </w:rPr>
        <w:t>的通知》（粤残联</w:t>
      </w:r>
      <w:r>
        <w:rPr>
          <w:rFonts w:hint="eastAsia" w:ascii="仿宋" w:hAnsi="仿宋" w:eastAsia="仿宋" w:cs="仿宋"/>
          <w:b w:val="0"/>
          <w:i w:val="0"/>
          <w:snapToGrid/>
          <w:color w:val="000000"/>
          <w:sz w:val="30"/>
          <w:szCs w:val="30"/>
          <w:u w:val="none"/>
          <w:lang w:val="en-US" w:eastAsia="zh-CN"/>
        </w:rPr>
        <w:t>[</w:t>
      </w:r>
      <w:r>
        <w:rPr>
          <w:rFonts w:hint="eastAsia" w:ascii="仿宋" w:hAnsi="仿宋" w:eastAsia="仿宋" w:cs="仿宋"/>
          <w:b w:val="0"/>
          <w:i w:val="0"/>
          <w:snapToGrid/>
          <w:color w:val="000000"/>
          <w:sz w:val="30"/>
          <w:szCs w:val="30"/>
          <w:u w:val="none"/>
          <w:lang w:eastAsia="zh-CN"/>
        </w:rPr>
        <w:t>201</w:t>
      </w:r>
      <w:r>
        <w:rPr>
          <w:rFonts w:hint="eastAsia" w:ascii="仿宋" w:hAnsi="仿宋" w:eastAsia="仿宋" w:cs="仿宋"/>
          <w:b w:val="0"/>
          <w:i w:val="0"/>
          <w:snapToGrid/>
          <w:color w:val="000000"/>
          <w:sz w:val="30"/>
          <w:szCs w:val="30"/>
          <w:u w:val="none"/>
          <w:lang w:val="en-US" w:eastAsia="zh-CN"/>
        </w:rPr>
        <w:t>8]60</w:t>
      </w:r>
      <w:r>
        <w:rPr>
          <w:rFonts w:hint="eastAsia" w:ascii="仿宋" w:hAnsi="仿宋" w:eastAsia="仿宋" w:cs="仿宋"/>
          <w:b w:val="0"/>
          <w:i w:val="0"/>
          <w:snapToGrid/>
          <w:color w:val="000000"/>
          <w:sz w:val="30"/>
          <w:szCs w:val="30"/>
          <w:u w:val="none"/>
          <w:lang w:eastAsia="zh-CN"/>
        </w:rPr>
        <w:t>号）和</w:t>
      </w:r>
      <w:r>
        <w:rPr>
          <w:rFonts w:hint="eastAsia" w:ascii="仿宋_GB2312" w:eastAsia="仿宋_GB2312" w:cs="仿宋"/>
          <w:kern w:val="0"/>
          <w:sz w:val="32"/>
          <w:szCs w:val="32"/>
          <w:lang w:val="zh-CN"/>
        </w:rPr>
        <w:t>根据《关于下达201</w:t>
      </w:r>
      <w:r>
        <w:rPr>
          <w:rFonts w:hint="eastAsia" w:ascii="仿宋_GB2312" w:eastAsia="仿宋_GB2312" w:cs="仿宋"/>
          <w:kern w:val="0"/>
          <w:sz w:val="32"/>
          <w:szCs w:val="32"/>
        </w:rPr>
        <w:t>8</w:t>
      </w:r>
      <w:r>
        <w:rPr>
          <w:rFonts w:hint="eastAsia" w:ascii="仿宋_GB2312" w:eastAsia="仿宋_GB2312" w:cs="仿宋"/>
          <w:kern w:val="0"/>
          <w:sz w:val="32"/>
          <w:szCs w:val="32"/>
          <w:lang w:val="zh-CN"/>
        </w:rPr>
        <w:t>年预算的通知》（清财预[201</w:t>
      </w:r>
      <w:r>
        <w:rPr>
          <w:rFonts w:hint="eastAsia" w:ascii="仿宋_GB2312" w:eastAsia="仿宋_GB2312" w:cs="仿宋"/>
          <w:kern w:val="0"/>
          <w:sz w:val="32"/>
          <w:szCs w:val="32"/>
        </w:rPr>
        <w:t>8</w:t>
      </w:r>
      <w:r>
        <w:rPr>
          <w:rFonts w:hint="eastAsia" w:ascii="仿宋_GB2312" w:eastAsia="仿宋_GB2312" w:cs="仿宋"/>
          <w:kern w:val="0"/>
          <w:sz w:val="32"/>
          <w:szCs w:val="32"/>
          <w:lang w:val="zh-CN"/>
        </w:rPr>
        <w:t>]</w:t>
      </w:r>
      <w:r>
        <w:rPr>
          <w:rFonts w:hint="eastAsia" w:ascii="仿宋_GB2312" w:eastAsia="仿宋_GB2312" w:cs="仿宋"/>
          <w:kern w:val="0"/>
          <w:sz w:val="32"/>
          <w:szCs w:val="32"/>
        </w:rPr>
        <w:t>5</w:t>
      </w:r>
      <w:r>
        <w:rPr>
          <w:rFonts w:hint="eastAsia" w:ascii="仿宋_GB2312" w:eastAsia="仿宋_GB2312" w:cs="仿宋"/>
          <w:kern w:val="0"/>
          <w:sz w:val="32"/>
          <w:szCs w:val="32"/>
          <w:lang w:val="zh-CN"/>
        </w:rPr>
        <w:t>号）</w:t>
      </w:r>
      <w:r>
        <w:rPr>
          <w:rFonts w:hint="eastAsia" w:ascii="仿宋" w:hAnsi="仿宋" w:eastAsia="仿宋" w:cs="仿宋"/>
          <w:b w:val="0"/>
          <w:i w:val="0"/>
          <w:snapToGrid/>
          <w:color w:val="000000"/>
          <w:sz w:val="30"/>
          <w:szCs w:val="30"/>
          <w:u w:val="none"/>
          <w:lang w:eastAsia="zh-CN"/>
        </w:rPr>
        <w:t>文件要求。全市已建的社区康园中心，市财政按照“差异化”配套，</w:t>
      </w:r>
      <w:r>
        <w:rPr>
          <w:rFonts w:hint="eastAsia" w:ascii="仿宋" w:hAnsi="仿宋" w:eastAsia="仿宋" w:cs="仿宋"/>
          <w:b w:val="0"/>
          <w:i w:val="0"/>
          <w:snapToGrid/>
          <w:color w:val="000000"/>
          <w:sz w:val="30"/>
          <w:szCs w:val="30"/>
          <w:u w:val="none"/>
          <w:lang w:val="en-US" w:eastAsia="zh-CN"/>
        </w:rPr>
        <w:t>2018年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下达预算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运转机构补助</w:t>
      </w:r>
      <w:r>
        <w:rPr>
          <w:rFonts w:hint="eastAsia" w:ascii="仿宋" w:hAnsi="仿宋" w:eastAsia="仿宋" w:cs="仿宋"/>
          <w:b w:val="0"/>
          <w:i w:val="0"/>
          <w:snapToGrid/>
          <w:color w:val="000000"/>
          <w:sz w:val="30"/>
          <w:szCs w:val="30"/>
          <w:u w:val="none"/>
          <w:lang w:eastAsia="zh-CN"/>
        </w:rPr>
        <w:t>分别配套4万元/个（市县二级），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任务数为</w:t>
      </w:r>
      <w:r>
        <w:rPr>
          <w:rFonts w:hint="eastAsia" w:ascii="仿宋" w:hAnsi="仿宋" w:eastAsia="仿宋" w:cs="仿宋"/>
          <w:b w:val="0"/>
          <w:i w:val="0"/>
          <w:snapToGrid/>
          <w:color w:val="000000"/>
          <w:sz w:val="30"/>
          <w:szCs w:val="30"/>
          <w:u w:val="none"/>
          <w:lang w:eastAsia="zh-CN"/>
        </w:rPr>
        <w:t>61个，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合计金额为104.4万元。</w:t>
      </w:r>
      <w:r>
        <w:rPr>
          <w:rFonts w:hint="eastAsia" w:ascii="仿宋" w:hAnsi="仿宋" w:eastAsia="仿宋" w:cs="仿宋"/>
          <w:b w:val="0"/>
          <w:i w:val="0"/>
          <w:snapToGrid/>
          <w:color w:val="000000"/>
          <w:sz w:val="30"/>
          <w:szCs w:val="30"/>
          <w:u w:val="none"/>
          <w:lang w:eastAsia="zh-CN"/>
        </w:rPr>
        <w:t xml:space="preserve"> 新建的康园中心，市财政按照“差异化”配套，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新建机构补助</w:t>
      </w:r>
      <w:r>
        <w:rPr>
          <w:rFonts w:hint="eastAsia" w:ascii="仿宋" w:hAnsi="仿宋" w:eastAsia="仿宋" w:cs="仿宋"/>
          <w:b w:val="0"/>
          <w:i w:val="0"/>
          <w:snapToGrid/>
          <w:color w:val="000000"/>
          <w:sz w:val="30"/>
          <w:szCs w:val="30"/>
          <w:u w:val="none"/>
          <w:lang w:eastAsia="zh-CN"/>
        </w:rPr>
        <w:t>分别配套5万元/个（市县二级），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任务数为</w:t>
      </w:r>
      <w:r>
        <w:rPr>
          <w:rFonts w:hint="eastAsia" w:ascii="仿宋" w:hAnsi="仿宋" w:eastAsia="仿宋" w:cs="仿宋"/>
          <w:b w:val="0"/>
          <w:i w:val="0"/>
          <w:snapToGrid/>
          <w:color w:val="000000"/>
          <w:sz w:val="30"/>
          <w:szCs w:val="30"/>
          <w:u w:val="none"/>
          <w:lang w:eastAsia="zh-CN"/>
        </w:rPr>
        <w:t>18个，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合计金额为31.5万元。全市社区康园中心辅助性就业配送补贴合计金额为29.1万元。宣传、文体、艺术专项经费合计金额为21万元。2018年收到市财政下达我市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社区康园中心和居家托养补助经费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总合计为186万元。</w:t>
      </w:r>
    </w:p>
    <w:p>
      <w:pPr>
        <w:numPr>
          <w:ilvl w:val="0"/>
          <w:numId w:val="0"/>
        </w:numPr>
        <w:ind w:firstLine="640" w:firstLineChars="200"/>
        <w:outlineLvl w:val="0"/>
        <w:rPr>
          <w:rFonts w:hint="eastAsia" w:ascii="楷体" w:hAnsi="楷体" w:eastAsia="楷体" w:cs="楷体"/>
          <w:color w:val="00000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color w:val="000000"/>
          <w:sz w:val="32"/>
          <w:szCs w:val="32"/>
          <w:lang w:val="en-US" w:eastAsia="zh-CN"/>
        </w:rPr>
        <w:t>（二）资金到位及支付情况：</w:t>
      </w:r>
    </w:p>
    <w:p>
      <w:pPr>
        <w:numPr>
          <w:ilvl w:val="0"/>
          <w:numId w:val="0"/>
        </w:numPr>
        <w:ind w:firstLine="600" w:firstLineChars="200"/>
        <w:outlineLvl w:val="0"/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资金到位率100%，支出率81.29%，社区康园中心运转机构补助和新建机构补助已于2018年5月全部划拨到各县（市、区）。其中：清城区4.8万元，清新区4.8万元，佛冈县6.5万元，连州市23.6万元，阳山县39.2万元，,连南县23.8万元，连山县14.7万元，英德市18.5万元。总合计金额为135.9万元。全市社区康园中心辅助性就业配送补贴已于2019年1月下拨到各县（市、区），并要求其下拨给已开展辅助性就业的社区康园中心，其中，清城区3.93万元，英德市1.6776万元，连州市5.064万元,共支出10.6716万元，结余18.4284万元。原因是1.部分社区康园中心未开展辅助性就业服务项目，无申请运费补贴。2.部分社区康园中心无法提供合法性票据，依据不足，没有给予运费补贴。结余部门将用于2019年全市社区康园中心运费补贴。宣传、文体、艺术专项经费共支出4.6268万元，结余16.3732万元。原因是该笔费用计划用于2018年残疾人粤港澳龙舟邀请赛，但由于天气原因，活动取消造成结余。结余部份</w:t>
      </w:r>
      <w:bookmarkStart w:id="0" w:name="_GoBack"/>
      <w:bookmarkEnd w:id="0"/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将用于2019年宣文体工作。</w:t>
      </w:r>
    </w:p>
    <w:p>
      <w:pPr>
        <w:ind w:firstLine="640" w:firstLineChars="200"/>
        <w:outlineLvl w:val="0"/>
        <w:rPr>
          <w:rFonts w:hint="eastAsia" w:ascii="楷体" w:hAnsi="楷体" w:eastAsia="楷体" w:cs="楷体"/>
          <w:color w:val="00000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color w:val="000000"/>
          <w:sz w:val="32"/>
          <w:szCs w:val="32"/>
          <w:lang w:val="en-US" w:eastAsia="zh-CN"/>
        </w:rPr>
        <w:t>（三）资金管理制度及执行情况：</w:t>
      </w:r>
    </w:p>
    <w:p>
      <w:pPr>
        <w:ind w:firstLine="600" w:firstLineChars="200"/>
        <w:outlineLvl w:val="0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根据</w:t>
      </w:r>
      <w:r>
        <w:rPr>
          <w:rFonts w:hint="eastAsia" w:ascii="仿宋" w:hAnsi="仿宋" w:eastAsia="仿宋" w:cs="仿宋"/>
          <w:b w:val="0"/>
          <w:i w:val="0"/>
          <w:snapToGrid/>
          <w:color w:val="000000"/>
          <w:sz w:val="30"/>
          <w:szCs w:val="30"/>
          <w:u w:val="none"/>
          <w:lang w:eastAsia="zh-CN"/>
        </w:rPr>
        <w:t>《广东省残联关于印发</w:t>
      </w:r>
      <w:r>
        <w:rPr>
          <w:rFonts w:hint="eastAsia" w:ascii="仿宋" w:hAnsi="仿宋" w:eastAsia="仿宋" w:cs="仿宋"/>
          <w:b w:val="0"/>
          <w:i w:val="0"/>
          <w:snapToGrid/>
          <w:color w:val="000000"/>
          <w:sz w:val="30"/>
          <w:szCs w:val="30"/>
          <w:u w:val="none"/>
          <w:lang w:val="en-US" w:eastAsia="zh-CN"/>
        </w:rPr>
        <w:t>&lt;</w:t>
      </w:r>
      <w:r>
        <w:rPr>
          <w:rFonts w:hint="eastAsia" w:ascii="仿宋" w:hAnsi="仿宋" w:eastAsia="仿宋" w:cs="仿宋"/>
          <w:b w:val="0"/>
          <w:i w:val="0"/>
          <w:snapToGrid/>
          <w:color w:val="000000"/>
          <w:sz w:val="30"/>
          <w:szCs w:val="30"/>
          <w:u w:val="none"/>
          <w:lang w:eastAsia="zh-CN"/>
        </w:rPr>
        <w:t>2018年全省社区康园中心项目实施方案</w:t>
      </w:r>
      <w:r>
        <w:rPr>
          <w:rFonts w:hint="eastAsia" w:ascii="仿宋" w:hAnsi="仿宋" w:eastAsia="仿宋" w:cs="仿宋"/>
          <w:b w:val="0"/>
          <w:i w:val="0"/>
          <w:snapToGrid/>
          <w:color w:val="000000"/>
          <w:sz w:val="30"/>
          <w:szCs w:val="30"/>
          <w:u w:val="none"/>
          <w:lang w:val="en-US" w:eastAsia="zh-CN"/>
        </w:rPr>
        <w:t>&gt;</w:t>
      </w:r>
      <w:r>
        <w:rPr>
          <w:rFonts w:hint="eastAsia" w:ascii="仿宋" w:hAnsi="仿宋" w:eastAsia="仿宋" w:cs="仿宋"/>
          <w:b w:val="0"/>
          <w:i w:val="0"/>
          <w:snapToGrid/>
          <w:color w:val="000000"/>
          <w:sz w:val="30"/>
          <w:szCs w:val="30"/>
          <w:u w:val="none"/>
          <w:lang w:eastAsia="zh-CN"/>
        </w:rPr>
        <w:t>的通知》（粤残联</w:t>
      </w:r>
      <w:r>
        <w:rPr>
          <w:rFonts w:hint="eastAsia" w:ascii="仿宋" w:hAnsi="仿宋" w:eastAsia="仿宋" w:cs="仿宋"/>
          <w:b w:val="0"/>
          <w:i w:val="0"/>
          <w:snapToGrid/>
          <w:color w:val="000000"/>
          <w:sz w:val="30"/>
          <w:szCs w:val="30"/>
          <w:u w:val="none"/>
          <w:lang w:val="en-US" w:eastAsia="zh-CN"/>
        </w:rPr>
        <w:t>[</w:t>
      </w:r>
      <w:r>
        <w:rPr>
          <w:rFonts w:hint="eastAsia" w:ascii="仿宋" w:hAnsi="仿宋" w:eastAsia="仿宋" w:cs="仿宋"/>
          <w:b w:val="0"/>
          <w:i w:val="0"/>
          <w:snapToGrid/>
          <w:color w:val="000000"/>
          <w:sz w:val="30"/>
          <w:szCs w:val="30"/>
          <w:u w:val="none"/>
          <w:lang w:eastAsia="zh-CN"/>
        </w:rPr>
        <w:t>201</w:t>
      </w:r>
      <w:r>
        <w:rPr>
          <w:rFonts w:hint="eastAsia" w:ascii="仿宋" w:hAnsi="仿宋" w:eastAsia="仿宋" w:cs="仿宋"/>
          <w:b w:val="0"/>
          <w:i w:val="0"/>
          <w:snapToGrid/>
          <w:color w:val="000000"/>
          <w:sz w:val="30"/>
          <w:szCs w:val="30"/>
          <w:u w:val="none"/>
          <w:lang w:val="en-US" w:eastAsia="zh-CN"/>
        </w:rPr>
        <w:t>8]60</w:t>
      </w:r>
      <w:r>
        <w:rPr>
          <w:rFonts w:hint="eastAsia" w:ascii="仿宋" w:hAnsi="仿宋" w:eastAsia="仿宋" w:cs="仿宋"/>
          <w:b w:val="0"/>
          <w:i w:val="0"/>
          <w:snapToGrid/>
          <w:color w:val="000000"/>
          <w:sz w:val="30"/>
          <w:szCs w:val="30"/>
          <w:u w:val="none"/>
          <w:lang w:eastAsia="zh-CN"/>
        </w:rPr>
        <w:t>号），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2018年，按照实施方案要求，市残联多次到全市各县（市、区）开展督查，专项督查各地落实社区康园中心补助资金落实情况，确保补助资金全部按时、足额发放到各个康园中心。</w:t>
      </w:r>
    </w:p>
    <w:p>
      <w:pPr>
        <w:numPr>
          <w:ilvl w:val="0"/>
          <w:numId w:val="0"/>
        </w:numPr>
        <w:ind w:firstLine="640" w:firstLineChars="200"/>
        <w:outlineLvl w:val="0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（四）自评结论及简要分析：</w:t>
      </w:r>
    </w:p>
    <w:p>
      <w:pPr>
        <w:numPr>
          <w:ilvl w:val="0"/>
          <w:numId w:val="0"/>
        </w:numPr>
        <w:outlineLvl w:val="0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   我们认为，2018年社区康园中心补助专项资金执行情况良好。主要体现在：一是资金到位率和支持率高；二是资金拨付规范到位；三是严格按照要求进行使用。</w:t>
      </w:r>
    </w:p>
    <w:p>
      <w:pPr>
        <w:numPr>
          <w:ilvl w:val="0"/>
          <w:numId w:val="1"/>
        </w:numPr>
        <w:ind w:left="0" w:leftChars="0" w:firstLine="640" w:firstLineChars="200"/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主要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绩效</w:t>
      </w: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及管理措施分析</w:t>
      </w:r>
    </w:p>
    <w:p>
      <w:pPr>
        <w:numPr>
          <w:ilvl w:val="0"/>
          <w:numId w:val="3"/>
        </w:numPr>
        <w:ind w:left="561" w:leftChars="0" w:firstLine="0" w:firstLineChars="0"/>
        <w:rPr>
          <w:rFonts w:hint="eastAsia" w:ascii="楷体" w:hAnsi="楷体" w:eastAsia="楷体" w:cs="楷体"/>
          <w:b w:val="0"/>
          <w:bCs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 w:val="0"/>
          <w:bCs/>
          <w:sz w:val="32"/>
          <w:szCs w:val="32"/>
          <w:lang w:val="en-US" w:eastAsia="zh-CN"/>
        </w:rPr>
        <w:t>专项资金绩效目标与完成情况</w:t>
      </w:r>
    </w:p>
    <w:p>
      <w:pPr>
        <w:numPr>
          <w:ilvl w:val="0"/>
          <w:numId w:val="0"/>
        </w:numPr>
        <w:ind w:firstLine="600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30"/>
          <w:szCs w:val="30"/>
          <w:lang w:val="en-US" w:eastAsia="zh-CN"/>
        </w:rPr>
        <w:t>2018年计划补助金额186万元，实际支出金额151.1984万元，其中：已建康园中心61个（补助标准：</w:t>
      </w:r>
      <w:r>
        <w:rPr>
          <w:rFonts w:hint="eastAsia" w:ascii="仿宋" w:hAnsi="仿宋" w:eastAsia="仿宋" w:cs="仿宋"/>
          <w:b w:val="0"/>
          <w:i w:val="0"/>
          <w:snapToGrid/>
          <w:color w:val="000000"/>
          <w:sz w:val="30"/>
          <w:szCs w:val="30"/>
          <w:u w:val="none"/>
          <w:lang w:eastAsia="zh-CN"/>
        </w:rPr>
        <w:t>市县二级配套4万元/个</w:t>
      </w:r>
      <w:r>
        <w:rPr>
          <w:rFonts w:hint="eastAsia" w:ascii="仿宋" w:hAnsi="仿宋" w:eastAsia="仿宋" w:cs="仿宋"/>
          <w:b w:val="0"/>
          <w:bCs/>
          <w:sz w:val="30"/>
          <w:szCs w:val="30"/>
          <w:lang w:val="en-US" w:eastAsia="zh-CN"/>
        </w:rPr>
        <w:t>），新增社区康园中心18个（补助标准：</w:t>
      </w:r>
      <w:r>
        <w:rPr>
          <w:rFonts w:hint="eastAsia" w:ascii="仿宋" w:hAnsi="仿宋" w:eastAsia="仿宋" w:cs="仿宋"/>
          <w:b w:val="0"/>
          <w:i w:val="0"/>
          <w:snapToGrid/>
          <w:color w:val="000000"/>
          <w:sz w:val="30"/>
          <w:szCs w:val="30"/>
          <w:u w:val="none"/>
          <w:lang w:eastAsia="zh-CN"/>
        </w:rPr>
        <w:t>市县二级配套</w:t>
      </w:r>
      <w:r>
        <w:rPr>
          <w:rFonts w:hint="eastAsia" w:ascii="仿宋" w:hAnsi="仿宋" w:eastAsia="仿宋" w:cs="仿宋"/>
          <w:b w:val="0"/>
          <w:i w:val="0"/>
          <w:snapToGrid/>
          <w:color w:val="000000"/>
          <w:sz w:val="30"/>
          <w:szCs w:val="30"/>
          <w:u w:val="none"/>
          <w:lang w:val="en-US" w:eastAsia="zh-CN"/>
        </w:rPr>
        <w:t>5</w:t>
      </w:r>
      <w:r>
        <w:rPr>
          <w:rFonts w:hint="eastAsia" w:ascii="仿宋" w:hAnsi="仿宋" w:eastAsia="仿宋" w:cs="仿宋"/>
          <w:b w:val="0"/>
          <w:i w:val="0"/>
          <w:snapToGrid/>
          <w:color w:val="000000"/>
          <w:sz w:val="30"/>
          <w:szCs w:val="30"/>
          <w:u w:val="none"/>
          <w:lang w:eastAsia="zh-CN"/>
        </w:rPr>
        <w:t>万元/个</w:t>
      </w:r>
      <w:r>
        <w:rPr>
          <w:rFonts w:hint="eastAsia" w:ascii="仿宋" w:hAnsi="仿宋" w:eastAsia="仿宋" w:cs="仿宋"/>
          <w:b w:val="0"/>
          <w:bCs/>
          <w:sz w:val="30"/>
          <w:szCs w:val="30"/>
          <w:lang w:val="en-US" w:eastAsia="zh-CN"/>
        </w:rPr>
        <w:t>），包括：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清城区8个，获拨资金4.8万元，服务残疾人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  <w:t>126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名；清新区8个，获拨资金4.8万元，服务残疾人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  <w:t>200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名；佛冈共6个，获拨资金6.5万元，其中新建2个，服务残疾人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  <w:t>34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名；连州共14个，获拨资金74万元，其中新建3个，服务残疾人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  <w:t>234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名；阳山共14个，获拨资金39.2万元，服务残疾人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  <w:t>262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名；连南共8个，获拨资金23.8万元，其中新建2个，服务残疾人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  <w:t>148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名；连山共5个，获拨资金14.7万元，其中新建1个，服务残疾人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  <w:t>82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名；英德16个，获拨资金18.5万元，其中新建10个，服务残疾人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  <w:t>101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名；</w:t>
      </w:r>
      <w:r>
        <w:rPr>
          <w:rFonts w:hint="eastAsia" w:ascii="仿宋" w:hAnsi="仿宋" w:eastAsia="仿宋" w:cs="仿宋"/>
          <w:b w:val="0"/>
          <w:i w:val="0"/>
          <w:snapToGrid/>
          <w:color w:val="000000"/>
          <w:sz w:val="30"/>
          <w:szCs w:val="30"/>
          <w:u w:val="none"/>
          <w:lang w:val="en-US" w:eastAsia="zh-CN"/>
        </w:rPr>
        <w:t>2018年全市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康园中心为</w:t>
      </w: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1187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名残疾人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提供日间照料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辅助性就业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等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服务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。</w:t>
      </w:r>
    </w:p>
    <w:p>
      <w:pPr>
        <w:numPr>
          <w:ilvl w:val="0"/>
          <w:numId w:val="0"/>
        </w:numPr>
        <w:ind w:firstLine="640" w:firstLineChars="200"/>
        <w:rPr>
          <w:rFonts w:hint="eastAsia" w:ascii="楷体" w:hAnsi="楷体" w:eastAsia="楷体" w:cs="楷体"/>
          <w:b w:val="0"/>
          <w:bCs w:val="0"/>
          <w:sz w:val="32"/>
          <w:szCs w:val="32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  <w:lang w:eastAsia="zh-CN"/>
        </w:rPr>
        <w:t>（二）</w:t>
      </w:r>
      <w:r>
        <w:rPr>
          <w:rFonts w:hint="eastAsia" w:ascii="楷体" w:hAnsi="楷体" w:eastAsia="楷体" w:cs="楷体"/>
          <w:b w:val="0"/>
          <w:bCs w:val="0"/>
          <w:sz w:val="32"/>
          <w:szCs w:val="32"/>
        </w:rPr>
        <w:t>主要成绩</w:t>
      </w:r>
    </w:p>
    <w:p>
      <w:pPr>
        <w:pStyle w:val="4"/>
        <w:keepNext w:val="0"/>
        <w:keepLines w:val="0"/>
        <w:widowControl/>
        <w:suppressLineNumbers w:val="0"/>
        <w:spacing w:before="0" w:beforeLines="0" w:beforeAutospacing="0" w:after="0" w:afterLines="0" w:afterAutospacing="0" w:line="23" w:lineRule="atLeast"/>
        <w:ind w:left="0" w:right="120" w:firstLine="640" w:firstLineChars="200"/>
        <w:jc w:val="left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1、日间照料服务进一步加强完善。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各社区康园中心按照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残疾人的各种康复需求，通过工疗、娱疗等职业康复和社会康复手段，为社区内的残疾人提供日间照料、康复功能训练、职业技能培训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在工作人员的帮助、指导下，通过合理地使用康复仪器及物理治疗方法，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使有康复需求的残疾人得到了良好的康复治疗效果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。</w:t>
      </w:r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2、进一步丰富了残疾人的生活。各社区康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园中心配有娱乐健身器材，可随时组织残疾人进行象棋、围棋、跳棋、扑克、麻将和其他形式的娱疗活动。配置各种适合残疾人使用的健身器械，使残疾人参加工疗后可以进行适当的体育运动；配置电视机，安装网络，免费WIFI使用。设置图书阅览，为残疾人提供与残疾预防、残疾人康复、精神病防治，医疗保健和辅助就业等相关的康复读物，让残疾人可以学到康复知识。在“全国助残</w:t>
      </w:r>
      <w:r>
        <w:rPr>
          <w:rFonts w:hint="eastAsia" w:ascii="仿宋" w:hAnsi="仿宋" w:eastAsia="仿宋" w:cs="仿宋"/>
          <w:sz w:val="32"/>
          <w:szCs w:val="32"/>
        </w:rPr>
        <w:t>日”、“六一”儿童节、“爱耳日”等节日，开展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各种各样</w:t>
      </w:r>
      <w:r>
        <w:rPr>
          <w:rFonts w:hint="eastAsia" w:ascii="仿宋" w:hAnsi="仿宋" w:eastAsia="仿宋" w:cs="仿宋"/>
          <w:sz w:val="32"/>
          <w:szCs w:val="32"/>
        </w:rPr>
        <w:t>适合残疾人的活动，活跃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了</w:t>
      </w:r>
      <w:r>
        <w:rPr>
          <w:rFonts w:hint="eastAsia" w:ascii="仿宋" w:hAnsi="仿宋" w:eastAsia="仿宋" w:cs="仿宋"/>
          <w:sz w:val="32"/>
          <w:szCs w:val="32"/>
        </w:rPr>
        <w:t>残疾人的文化娱乐生活。</w:t>
      </w:r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hint="eastAsia" w:ascii="仿宋" w:hAnsi="仿宋" w:eastAsia="仿宋" w:cs="仿宋"/>
          <w:color w:val="222222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3、增加了残疾人的收入。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各社区康园中心积极与企业联系，</w:t>
      </w:r>
      <w:r>
        <w:rPr>
          <w:rFonts w:hint="eastAsia" w:ascii="仿宋" w:hAnsi="仿宋" w:eastAsia="仿宋" w:cs="仿宋"/>
          <w:color w:val="222222"/>
          <w:sz w:val="32"/>
          <w:szCs w:val="32"/>
        </w:rPr>
        <w:t>通过多种渠道开拓货源，给会员提供操作方便的产品加工，使会员得到相应报酬，享受自己的劳动成果</w:t>
      </w:r>
      <w:r>
        <w:rPr>
          <w:rFonts w:hint="eastAsia" w:ascii="仿宋" w:hAnsi="仿宋" w:eastAsia="仿宋" w:cs="仿宋"/>
          <w:color w:val="222222"/>
          <w:sz w:val="32"/>
          <w:szCs w:val="32"/>
          <w:lang w:eastAsia="zh-CN"/>
        </w:rPr>
        <w:t>。</w:t>
      </w:r>
    </w:p>
    <w:p>
      <w:pPr>
        <w:ind w:firstLine="640" w:firstLineChars="200"/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 w:bidi="ar"/>
        </w:rPr>
        <w:t>4、增强了残疾人生活的信心。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通过社区康园中心，为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智力、精神、重度残疾人及其他有需求的残疾人提供日间生活照料护理、生活自理能力训练、社会适应能力辅导、职业康复与劳动技能训练、文体娱乐、辅助性就业及运动功能训练等基本公共服务，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提高了残疾人适应社会的能力和生活质量，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减轻家庭及社会负担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。</w:t>
      </w:r>
    </w:p>
    <w:p>
      <w:pPr>
        <w:ind w:firstLine="640" w:firstLineChars="200"/>
        <w:rPr>
          <w:rFonts w:hint="eastAsia" w:ascii="仿宋" w:hAnsi="仿宋" w:eastAsia="仿宋" w:cs="仿宋"/>
          <w:color w:val="22222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5、提高了社会对残疾人群体的了解和关爱。社区康园中心逐渐在全市全面推广，不但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为残疾人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提供了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康复服务，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还帮助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残疾人发挥潜能，参加有益劳动，对社会主义物质文明和精神文明建设做出贡献，促进经济建设和文化繁荣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。通过社区康园中心提供的各项服务和开展的各种活动，让社会大众进一步了解残疾人群体，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理解、尊重、关心、帮助残疾人，支持残疾人事业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的发展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。</w:t>
      </w:r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hint="eastAsia" w:ascii="楷体" w:hAnsi="楷体" w:eastAsia="楷体" w:cs="楷体"/>
          <w:b w:val="0"/>
          <w:i w:val="0"/>
          <w:snapToGrid/>
          <w:color w:val="000000"/>
          <w:sz w:val="32"/>
          <w:szCs w:val="32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i w:val="0"/>
          <w:snapToGrid/>
          <w:color w:val="000000"/>
          <w:sz w:val="32"/>
          <w:szCs w:val="32"/>
          <w:u w:val="none"/>
          <w:lang w:val="en-US" w:eastAsia="zh-CN"/>
        </w:rPr>
        <w:t>（三）管理措施：</w:t>
      </w:r>
    </w:p>
    <w:p>
      <w:pPr>
        <w:numPr>
          <w:ilvl w:val="0"/>
          <w:numId w:val="0"/>
        </w:numPr>
        <w:spacing w:line="600" w:lineRule="exact"/>
        <w:ind w:firstLine="600" w:firstLineChars="200"/>
        <w:rPr>
          <w:rFonts w:hint="eastAsia" w:ascii="仿宋" w:hAnsi="仿宋" w:eastAsia="仿宋" w:cs="仿宋"/>
          <w:b w:val="0"/>
          <w:i w:val="0"/>
          <w:snapToGrid/>
          <w:color w:val="000000"/>
          <w:sz w:val="30"/>
          <w:szCs w:val="30"/>
          <w:u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  <w:t>一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</w:rPr>
        <w:t>是落实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  <w:t>好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康园中心补助资金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</w:rPr>
        <w:t>。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  <w:t>及时将补助资金划拨到各县（市、区），</w:t>
      </w:r>
      <w:r>
        <w:rPr>
          <w:rFonts w:hint="eastAsia" w:ascii="仿宋" w:hAnsi="仿宋" w:eastAsia="仿宋" w:cs="仿宋"/>
          <w:sz w:val="30"/>
          <w:szCs w:val="30"/>
        </w:rPr>
        <w:t>为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康园中心</w:t>
      </w:r>
      <w:r>
        <w:rPr>
          <w:rFonts w:hint="eastAsia" w:ascii="仿宋" w:hAnsi="仿宋" w:eastAsia="仿宋" w:cs="仿宋"/>
          <w:sz w:val="30"/>
          <w:szCs w:val="30"/>
        </w:rPr>
        <w:t>工作开展提供必要的保障和条件，做好残疾人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日间托养</w:t>
      </w:r>
      <w:r>
        <w:rPr>
          <w:rFonts w:hint="eastAsia" w:ascii="仿宋" w:hAnsi="仿宋" w:eastAsia="仿宋" w:cs="仿宋"/>
          <w:sz w:val="30"/>
          <w:szCs w:val="30"/>
        </w:rPr>
        <w:t>服务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、辅助性就业等</w:t>
      </w:r>
      <w:r>
        <w:rPr>
          <w:rFonts w:hint="eastAsia" w:ascii="仿宋" w:hAnsi="仿宋" w:eastAsia="仿宋" w:cs="仿宋"/>
          <w:sz w:val="30"/>
          <w:szCs w:val="30"/>
        </w:rPr>
        <w:t>工作。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二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</w:rPr>
        <w:t>是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  <w:t>加强管理指导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</w:rPr>
        <w:t>。</w:t>
      </w:r>
      <w:r>
        <w:rPr>
          <w:rFonts w:hint="eastAsia" w:ascii="仿宋" w:hAnsi="仿宋" w:eastAsia="仿宋" w:cs="仿宋"/>
          <w:sz w:val="30"/>
          <w:szCs w:val="30"/>
        </w:rPr>
        <w:t>按照</w:t>
      </w:r>
      <w:r>
        <w:rPr>
          <w:rFonts w:hint="eastAsia" w:ascii="仿宋" w:hAnsi="仿宋" w:eastAsia="仿宋" w:cs="仿宋"/>
          <w:b w:val="0"/>
          <w:i w:val="0"/>
          <w:snapToGrid/>
          <w:color w:val="000000"/>
          <w:sz w:val="30"/>
          <w:szCs w:val="30"/>
          <w:u w:val="none"/>
          <w:lang w:eastAsia="zh-CN"/>
        </w:rPr>
        <w:t>《广东省残联关于印发</w:t>
      </w:r>
      <w:r>
        <w:rPr>
          <w:rFonts w:hint="eastAsia" w:ascii="仿宋" w:hAnsi="仿宋" w:eastAsia="仿宋" w:cs="仿宋"/>
          <w:b w:val="0"/>
          <w:i w:val="0"/>
          <w:snapToGrid/>
          <w:color w:val="000000"/>
          <w:sz w:val="30"/>
          <w:szCs w:val="30"/>
          <w:u w:val="none"/>
          <w:lang w:val="en-US" w:eastAsia="zh-CN"/>
        </w:rPr>
        <w:t>&lt;</w:t>
      </w:r>
      <w:r>
        <w:rPr>
          <w:rFonts w:hint="eastAsia" w:ascii="仿宋" w:hAnsi="仿宋" w:eastAsia="仿宋" w:cs="仿宋"/>
          <w:b w:val="0"/>
          <w:i w:val="0"/>
          <w:snapToGrid/>
          <w:color w:val="000000"/>
          <w:sz w:val="30"/>
          <w:szCs w:val="30"/>
          <w:u w:val="none"/>
          <w:lang w:eastAsia="zh-CN"/>
        </w:rPr>
        <w:t>2018年全省社区康园中心项目实施方案</w:t>
      </w:r>
      <w:r>
        <w:rPr>
          <w:rFonts w:hint="eastAsia" w:ascii="仿宋" w:hAnsi="仿宋" w:eastAsia="仿宋" w:cs="仿宋"/>
          <w:b w:val="0"/>
          <w:i w:val="0"/>
          <w:snapToGrid/>
          <w:color w:val="000000"/>
          <w:sz w:val="30"/>
          <w:szCs w:val="30"/>
          <w:u w:val="none"/>
          <w:lang w:val="en-US" w:eastAsia="zh-CN"/>
        </w:rPr>
        <w:t>&gt;</w:t>
      </w:r>
      <w:r>
        <w:rPr>
          <w:rFonts w:hint="eastAsia" w:ascii="仿宋" w:hAnsi="仿宋" w:eastAsia="仿宋" w:cs="仿宋"/>
          <w:b w:val="0"/>
          <w:i w:val="0"/>
          <w:snapToGrid/>
          <w:color w:val="000000"/>
          <w:sz w:val="30"/>
          <w:szCs w:val="30"/>
          <w:u w:val="none"/>
          <w:lang w:eastAsia="zh-CN"/>
        </w:rPr>
        <w:t>的通知》（粤残联</w:t>
      </w:r>
      <w:r>
        <w:rPr>
          <w:rFonts w:hint="eastAsia" w:ascii="仿宋" w:hAnsi="仿宋" w:eastAsia="仿宋" w:cs="仿宋"/>
          <w:b w:val="0"/>
          <w:i w:val="0"/>
          <w:snapToGrid/>
          <w:color w:val="000000"/>
          <w:sz w:val="30"/>
          <w:szCs w:val="30"/>
          <w:u w:val="none"/>
          <w:lang w:val="en-US" w:eastAsia="zh-CN"/>
        </w:rPr>
        <w:t>[</w:t>
      </w:r>
      <w:r>
        <w:rPr>
          <w:rFonts w:hint="eastAsia" w:ascii="仿宋" w:hAnsi="仿宋" w:eastAsia="仿宋" w:cs="仿宋"/>
          <w:b w:val="0"/>
          <w:i w:val="0"/>
          <w:snapToGrid/>
          <w:color w:val="000000"/>
          <w:sz w:val="30"/>
          <w:szCs w:val="30"/>
          <w:u w:val="none"/>
          <w:lang w:eastAsia="zh-CN"/>
        </w:rPr>
        <w:t>201</w:t>
      </w:r>
      <w:r>
        <w:rPr>
          <w:rFonts w:hint="eastAsia" w:ascii="仿宋" w:hAnsi="仿宋" w:eastAsia="仿宋" w:cs="仿宋"/>
          <w:b w:val="0"/>
          <w:i w:val="0"/>
          <w:snapToGrid/>
          <w:color w:val="000000"/>
          <w:sz w:val="30"/>
          <w:szCs w:val="30"/>
          <w:u w:val="none"/>
          <w:lang w:val="en-US" w:eastAsia="zh-CN"/>
        </w:rPr>
        <w:t>8]60</w:t>
      </w:r>
      <w:r>
        <w:rPr>
          <w:rFonts w:hint="eastAsia" w:ascii="仿宋" w:hAnsi="仿宋" w:eastAsia="仿宋" w:cs="仿宋"/>
          <w:b w:val="0"/>
          <w:i w:val="0"/>
          <w:snapToGrid/>
          <w:color w:val="000000"/>
          <w:sz w:val="30"/>
          <w:szCs w:val="30"/>
          <w:u w:val="none"/>
          <w:lang w:eastAsia="zh-CN"/>
        </w:rPr>
        <w:t>号）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的要求</w:t>
      </w:r>
      <w:r>
        <w:rPr>
          <w:rFonts w:hint="eastAsia" w:ascii="仿宋" w:hAnsi="仿宋" w:eastAsia="仿宋" w:cs="仿宋"/>
          <w:sz w:val="30"/>
          <w:szCs w:val="30"/>
        </w:rPr>
        <w:t>，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定期对各县（市、区）康园中心进行检查，对运营管理的存在问题提出整改意见，不断提升康园中心管理水平。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  <w:t>三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</w:rPr>
        <w:t>是培训好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  <w:t>管理人员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</w:rPr>
        <w:t>。</w:t>
      </w:r>
      <w:r>
        <w:rPr>
          <w:rFonts w:hint="eastAsia" w:ascii="仿宋" w:hAnsi="仿宋" w:eastAsia="仿宋" w:cs="仿宋"/>
          <w:sz w:val="30"/>
          <w:szCs w:val="30"/>
        </w:rPr>
        <w:t>从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康园中心服务目标、对象、内容、质量、</w:t>
      </w:r>
      <w:r>
        <w:rPr>
          <w:rFonts w:hint="eastAsia" w:ascii="仿宋" w:hAnsi="仿宋" w:eastAsia="仿宋" w:cs="仿宋"/>
          <w:sz w:val="30"/>
          <w:szCs w:val="30"/>
        </w:rPr>
        <w:t>日常运作、资料整理归档和管理等方面进行全面系统培训教育，不断提高综合素质和服务能力。</w:t>
      </w:r>
    </w:p>
    <w:p>
      <w:pPr>
        <w:numPr>
          <w:ilvl w:val="0"/>
          <w:numId w:val="1"/>
        </w:numPr>
        <w:ind w:left="0" w:leftChars="0" w:right="0" w:rightChars="0" w:firstLine="640" w:firstLineChars="200"/>
        <w:jc w:val="both"/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  <w:t>存在的问题及原因</w:t>
      </w:r>
    </w:p>
    <w:p>
      <w:pPr>
        <w:numPr>
          <w:ilvl w:val="0"/>
          <w:numId w:val="0"/>
        </w:numPr>
        <w:spacing w:line="240" w:lineRule="auto"/>
        <w:ind w:right="0" w:rightChars="0"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业务开展不够理想。按要求，社区康园中心主要是为辖区内就业年龄段的残疾人，尤其是精神病康复者、智障和重度肢体残疾人提供日间照料、庇护性就业服务、康复训练与咨询、社交文体活动和转介等服务，以提高其社会适应能力和生活质量，逐步回归主流社会。目前，大部分社区康园中心只是提供简单的康复健身运动、社交文体活动等服务和协助残联工作为主，辅助性就业和日间照料这两个主要项目未能按要求全面开展，服务内容和功能比较单一。服务对象除有开展辅助性就业服务的中心有接纳精神病康复者、智障人士外，多以肢残类为主。因残疾人行动不便、地址偏远等原因，导致残疾人到中心活动积极性不高。</w:t>
      </w:r>
    </w:p>
    <w:p>
      <w:pPr>
        <w:numPr>
          <w:ilvl w:val="0"/>
          <w:numId w:val="0"/>
        </w:numPr>
        <w:spacing w:line="240" w:lineRule="auto"/>
        <w:ind w:right="0" w:rightChars="0"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（二）队伍素质和工作的指导管理有待加强。工作人员普遍工作经验和业务知识、特别是专业知识比较欠缺，社交和管理能力不足，队伍整体素质不够高。部分工作人员待遇不高，影响队伍稳定。管理上存在普遍缺乏工作的计划安排和对日常业务开展、任务落实情况等的指导、检查。 </w:t>
      </w:r>
    </w:p>
    <w:p>
      <w:pPr>
        <w:numPr>
          <w:ilvl w:val="0"/>
          <w:numId w:val="0"/>
        </w:numPr>
        <w:spacing w:line="240" w:lineRule="auto"/>
        <w:ind w:right="0" w:rightChars="0" w:firstLine="640" w:firstLineChars="200"/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四、改进意见和建议 </w:t>
      </w:r>
    </w:p>
    <w:p>
      <w:pPr>
        <w:numPr>
          <w:ilvl w:val="0"/>
          <w:numId w:val="0"/>
        </w:numPr>
        <w:spacing w:line="240" w:lineRule="auto"/>
        <w:ind w:right="0" w:rightChars="0"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（一）加强宣传和组织发动工作，确保每个社区康园中心服务就业年龄段精神、智力和重度肢体残疾人会员20人以上。</w:t>
      </w:r>
    </w:p>
    <w:p>
      <w:pPr>
        <w:numPr>
          <w:ilvl w:val="0"/>
          <w:numId w:val="0"/>
        </w:numPr>
        <w:spacing w:line="240" w:lineRule="auto"/>
        <w:ind w:right="0" w:rightChars="0" w:firstLine="640" w:firstLineChars="200"/>
        <w:jc w:val="both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（二）加强管理和服务。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进一步完善各项管理制度，严格按照管理制度进行工作开展，确保为残疾人提供优质、有效的服务。</w:t>
      </w:r>
    </w:p>
    <w:p>
      <w:pPr>
        <w:ind w:firstLine="640" w:firstLineChars="200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（三）开发辅助性就业项目。多方联系爱心企业，为社区康园中心的残联人士提供更多的手工劳作，条件成熟情况下提供统一配送服务。增加残疾人的经济收入，同时帮助残疾人获得并保持适当的劳动能力，为他们融入社会生活提供更多的辅助性服务。</w:t>
      </w:r>
    </w:p>
    <w:p>
      <w:pPr>
        <w:ind w:firstLine="640" w:firstLineChars="200"/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（四）加强培训交流，做好宣传推广。组织街镇管理人员和服务人员开展多元化、开放式的业务培训，到先进地区、机构进行横向交流。</w:t>
      </w:r>
    </w:p>
    <w:sectPr>
      <w:footerReference r:id="rId3" w:type="default"/>
      <w:pgSz w:w="11906" w:h="16838"/>
      <w:pgMar w:top="1440" w:right="1800" w:bottom="1440" w:left="1800" w:header="851" w:footer="992" w:gutter="0"/>
      <w:paperSrc/>
      <w:cols w:space="0" w:num="1"/>
      <w:rtlGutter w:val="0"/>
      <w:docGrid w:type="lines" w:linePitch="29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方正楷体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@仿宋_GB2312">
    <w:altName w:val="仿宋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方正小标宋_GBK">
    <w:altName w:val="Arial Unicode MS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大标宋简体">
    <w:altName w:val="Arial Unicode MS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@方正大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@方正小标宋_GBK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DFKai-SB">
    <w:panose1 w:val="03000509000000000000"/>
    <w:charset w:val="88"/>
    <w:family w:val="auto"/>
    <w:pitch w:val="default"/>
    <w:sig w:usb0="00000003" w:usb1="082E0000" w:usb2="00000016" w:usb3="00000000" w:csb0="00100001" w:csb1="00000000"/>
  </w:font>
  <w:font w:name="MingLiU_HKSCS">
    <w:panose1 w:val="02020500000000000000"/>
    <w:charset w:val="88"/>
    <w:family w:val="auto"/>
    <w:pitch w:val="default"/>
    <w:sig w:usb0="A00002FF" w:usb1="38CFFCFA" w:usb2="00000016" w:usb3="00000000" w:csb0="00100001" w:csb1="00000000"/>
  </w:font>
  <w:font w:name="Book Antiqua">
    <w:panose1 w:val="02040602050305030304"/>
    <w:charset w:val="00"/>
    <w:family w:val="auto"/>
    <w:pitch w:val="default"/>
    <w:sig w:usb0="00000287" w:usb1="00000000" w:usb2="00000000" w:usb3="00000000" w:csb0="2000009F" w:csb1="DFD70000"/>
  </w:font>
  <w:font w:name="Bodoni MT Poster Compressed">
    <w:panose1 w:val="02070706080601050204"/>
    <w:charset w:val="00"/>
    <w:family w:val="auto"/>
    <w:pitch w:val="default"/>
    <w:sig w:usb0="00000003" w:usb1="00000000" w:usb2="00000000" w:usb3="00000000" w:csb0="20000011" w:csb1="00000000"/>
  </w:font>
  <w:font w:name="Bodoni MT Condensed">
    <w:panose1 w:val="02070606080606020203"/>
    <w:charset w:val="00"/>
    <w:family w:val="auto"/>
    <w:pitch w:val="default"/>
    <w:sig w:usb0="00000003" w:usb1="00000000" w:usb2="00000000" w:usb3="00000000" w:csb0="20000001" w:csb1="00000000"/>
  </w:font>
  <w:font w:name="Calibri">
    <w:panose1 w:val="020F0502020204030204"/>
    <w:charset w:val="01"/>
    <w:family w:val="auto"/>
    <w:pitch w:val="default"/>
    <w:sig w:usb0="E00002FF" w:usb1="4000ACFF" w:usb2="00000001" w:usb3="00000000" w:csb0="2000019F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rFonts w:hint="eastAsia" w:ascii="仿宋" w:hAnsi="仿宋" w:eastAsia="仿宋" w:cs="仿宋"/>
        <w:sz w:val="24"/>
        <w:szCs w:val="24"/>
        <w:lang w:eastAsia="zh-CN"/>
      </w:rPr>
    </w:pPr>
    <w:r>
      <w:rPr>
        <w:rFonts w:hint="eastAsia" w:ascii="仿宋" w:hAnsi="仿宋" w:eastAsia="仿宋" w:cs="仿宋"/>
        <w:sz w:val="24"/>
        <w:szCs w:val="24"/>
        <w:lang w:eastAsia="zh-CN"/>
      </w:rPr>
      <w:fldChar w:fldCharType="begin"/>
    </w:r>
    <w:r>
      <w:rPr>
        <w:rFonts w:hint="eastAsia" w:ascii="仿宋" w:hAnsi="仿宋" w:eastAsia="仿宋" w:cs="仿宋"/>
        <w:sz w:val="24"/>
        <w:szCs w:val="24"/>
        <w:lang w:eastAsia="zh-CN"/>
      </w:rPr>
      <w:instrText xml:space="preserve"> PAGE  \* MERGEFORMAT </w:instrText>
    </w:r>
    <w:r>
      <w:rPr>
        <w:rFonts w:hint="eastAsia" w:ascii="仿宋" w:hAnsi="仿宋" w:eastAsia="仿宋" w:cs="仿宋"/>
        <w:sz w:val="24"/>
        <w:szCs w:val="24"/>
        <w:lang w:eastAsia="zh-CN"/>
      </w:rPr>
      <w:fldChar w:fldCharType="separate"/>
    </w:r>
    <w:r>
      <w:rPr>
        <w:rFonts w:hint="eastAsia" w:ascii="仿宋" w:hAnsi="仿宋" w:eastAsia="仿宋" w:cs="仿宋"/>
        <w:sz w:val="24"/>
        <w:szCs w:val="24"/>
        <w:lang w:eastAsia="zh-CN"/>
      </w:rPr>
      <w:t>1</w:t>
    </w:r>
    <w:r>
      <w:rPr>
        <w:rFonts w:hint="eastAsia" w:ascii="仿宋" w:hAnsi="仿宋" w:eastAsia="仿宋" w:cs="仿宋"/>
        <w:sz w:val="24"/>
        <w:szCs w:val="24"/>
        <w:lang w:eastAsia="zh-CN"/>
      </w:rP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0000008"/>
    <w:multiLevelType w:val="singleLevel"/>
    <w:tmpl w:val="00000008"/>
    <w:lvl w:ilvl="0" w:tentative="0">
      <w:start w:val="1"/>
      <w:numFmt w:val="chineseCounting"/>
      <w:suff w:val="nothing"/>
      <w:lvlText w:val="（%1）"/>
      <w:lvlJc w:val="left"/>
      <w:pPr>
        <w:ind w:left="596" w:firstLine="0"/>
      </w:pPr>
      <w:rPr>
        <w:rFonts w:hint="eastAsia"/>
      </w:rPr>
    </w:lvl>
  </w:abstractNum>
  <w:abstractNum w:abstractNumId="2">
    <w:nsid w:val="00000009"/>
    <w:multiLevelType w:val="singleLevel"/>
    <w:tmpl w:val="00000009"/>
    <w:lvl w:ilvl="0" w:tentative="0">
      <w:start w:val="1"/>
      <w:numFmt w:val="chineseCounting"/>
      <w:suff w:val="nothing"/>
      <w:lvlText w:val="（%1）"/>
      <w:lvlJc w:val="left"/>
      <w:pPr>
        <w:ind w:left="561" w:firstLine="0"/>
      </w:pPr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4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51010F"/>
    <w:rsid w:val="028F5E31"/>
    <w:rsid w:val="034E71D0"/>
    <w:rsid w:val="04327317"/>
    <w:rsid w:val="052547C5"/>
    <w:rsid w:val="07696F95"/>
    <w:rsid w:val="08173861"/>
    <w:rsid w:val="085C53D0"/>
    <w:rsid w:val="0B0F35A8"/>
    <w:rsid w:val="0C97130F"/>
    <w:rsid w:val="0E480A24"/>
    <w:rsid w:val="0EBA0B73"/>
    <w:rsid w:val="0ED56744"/>
    <w:rsid w:val="125146E4"/>
    <w:rsid w:val="14963B1D"/>
    <w:rsid w:val="15084961"/>
    <w:rsid w:val="157D31F3"/>
    <w:rsid w:val="15D45950"/>
    <w:rsid w:val="16C03994"/>
    <w:rsid w:val="16D20F11"/>
    <w:rsid w:val="17497709"/>
    <w:rsid w:val="17937171"/>
    <w:rsid w:val="179B3045"/>
    <w:rsid w:val="1BA311E1"/>
    <w:rsid w:val="1E223B69"/>
    <w:rsid w:val="1E6D2862"/>
    <w:rsid w:val="1EBD5C3A"/>
    <w:rsid w:val="1FE51797"/>
    <w:rsid w:val="2151010F"/>
    <w:rsid w:val="224B01C6"/>
    <w:rsid w:val="23DB65D9"/>
    <w:rsid w:val="23DE025F"/>
    <w:rsid w:val="27AD580E"/>
    <w:rsid w:val="2988246D"/>
    <w:rsid w:val="29FA0DD4"/>
    <w:rsid w:val="2CE03136"/>
    <w:rsid w:val="2D535C08"/>
    <w:rsid w:val="343D5B8E"/>
    <w:rsid w:val="34DF6E5B"/>
    <w:rsid w:val="34E44532"/>
    <w:rsid w:val="3A6439EC"/>
    <w:rsid w:val="3B61568F"/>
    <w:rsid w:val="3BD70B63"/>
    <w:rsid w:val="3E2D3A4D"/>
    <w:rsid w:val="410F655D"/>
    <w:rsid w:val="42A812F2"/>
    <w:rsid w:val="44C4202B"/>
    <w:rsid w:val="44CC7FAD"/>
    <w:rsid w:val="489A0630"/>
    <w:rsid w:val="4B4557F2"/>
    <w:rsid w:val="4C184863"/>
    <w:rsid w:val="4EEA7D51"/>
    <w:rsid w:val="4F2737BC"/>
    <w:rsid w:val="51176480"/>
    <w:rsid w:val="51B03998"/>
    <w:rsid w:val="52C7604C"/>
    <w:rsid w:val="5403063C"/>
    <w:rsid w:val="543F2446"/>
    <w:rsid w:val="571B1136"/>
    <w:rsid w:val="5794279F"/>
    <w:rsid w:val="5D496272"/>
    <w:rsid w:val="5F176D0D"/>
    <w:rsid w:val="608256FA"/>
    <w:rsid w:val="6A6B1577"/>
    <w:rsid w:val="6E4E62EE"/>
    <w:rsid w:val="7147161C"/>
    <w:rsid w:val="73E66BF2"/>
    <w:rsid w:val="747B0D48"/>
    <w:rsid w:val="74B47C0C"/>
    <w:rsid w:val="78D24DB8"/>
    <w:rsid w:val="796838F1"/>
    <w:rsid w:val="7B883642"/>
    <w:rsid w:val="7C513C94"/>
    <w:rsid w:val="7ECB1D3D"/>
    <w:rsid w:val="7EEC605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100" w:beforeLines="0" w:beforeAutospacing="1" w:after="100" w:afterLines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7">
    <w:name w:val="Normal (Web)"/>
    <w:basedOn w:val="1"/>
    <w:qFormat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Office_10.1.0.6690_F1E327BC-269C-435d-A152-05C5408002CA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2018-08-15T03:20:00Z</dcterms:created>
  <dc:creator>lenovo</dc:creator>
  <cp:lastModifiedBy>lenovo</cp:lastModifiedBy>
  <cp:lastPrinted>2018-08-15T09:49:00Z</cp:lastPrinted>
  <dcterms:modified xsi:type="dcterms:W3CDTF">2019-03-28T03:32:11Z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