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主平台融资奖励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企业性质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企业经营范围</w:t>
            </w:r>
          </w:p>
        </w:tc>
        <w:tc>
          <w:tcPr>
            <w:tcW w:w="2447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企业控股股东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信用评级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负债率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总资产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净资产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总负债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8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法定代表人</w:t>
            </w:r>
          </w:p>
        </w:tc>
        <w:tc>
          <w:tcPr>
            <w:tcW w:w="1043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联系人</w:t>
            </w:r>
          </w:p>
        </w:tc>
        <w:tc>
          <w:tcPr>
            <w:tcW w:w="1118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8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15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/>
              </w:rPr>
              <w:t>二、基础设施项目基本情况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项目类型</w:t>
            </w: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建设内容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项目投资额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获得金融机构中长期固定资产贷款额（万元）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其中：2023年实际使用贷款额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（万元）</w:t>
            </w: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贷款年利率</w:t>
            </w: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金融机构名称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贷款期限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年月-年月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3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0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5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9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64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2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56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650D5FCA"/>
    <w:rsid w:val="716562E2"/>
    <w:rsid w:val="B6EEB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2024-01-04T10:15:00Z</dcterms:created>
  <dc:creator>陈江峰</dc:creator>
  <cp:lastModifiedBy>杨斌</cp:lastModifiedBy>
  <dcterms:modified xsi:type="dcterms:W3CDTF">2024-01-20T17:25:01Z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8FACCAAFEB874793B29BB7EA8BED026B_11</vt:lpwstr>
  </property>
</Properties>
</file>