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beforeAutospacing="0" w:afterAutospacing="0" w:line="560" w:lineRule="exact"/>
        <w:ind w:right="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附件</w:t>
      </w:r>
      <w:r>
        <w:rPr>
          <w:rFonts w:hint="eastAsia" w:ascii="仿宋_GB2312" w:hAnsi="仿宋_GB2312" w:eastAsia="仿宋_GB2312" w:cs="仿宋_GB2312"/>
          <w:sz w:val="32"/>
          <w:szCs w:val="32"/>
          <w:highlight w:val="none"/>
          <w:lang w:val="en-US" w:eastAsia="zh-CN"/>
        </w:rPr>
        <w:t>15</w:t>
      </w:r>
    </w:p>
    <w:p>
      <w:pPr>
        <w:widowControl w:val="0"/>
        <w:wordWrap/>
        <w:adjustRightInd/>
        <w:snapToGrid/>
        <w:spacing w:beforeAutospacing="0" w:afterAutospacing="0" w:line="560" w:lineRule="exact"/>
        <w:ind w:right="0"/>
        <w:jc w:val="both"/>
        <w:textAlignment w:val="auto"/>
        <w:outlineLvl w:val="9"/>
        <w:rPr>
          <w:rFonts w:hint="eastAsia" w:ascii="仿宋_GB2312" w:hAnsi="仿宋_GB2312" w:eastAsia="仿宋_GB2312" w:cs="仿宋_GB2312"/>
          <w:sz w:val="32"/>
          <w:szCs w:val="32"/>
          <w:highlight w:val="none"/>
          <w:lang w:val="en-US" w:eastAsia="zh-CN"/>
        </w:rPr>
      </w:pPr>
    </w:p>
    <w:p>
      <w:pPr>
        <w:widowControl w:val="0"/>
        <w:wordWrap/>
        <w:adjustRightInd/>
        <w:snapToGrid/>
        <w:spacing w:beforeAutospacing="0" w:afterAutospacing="0" w:line="560" w:lineRule="exact"/>
        <w:ind w:left="0" w:leftChars="0" w:right="0" w:firstLine="880" w:firstLineChars="200"/>
        <w:jc w:val="center"/>
        <w:textAlignment w:val="auto"/>
        <w:outlineLvl w:val="9"/>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eastAsia="zh-CN"/>
        </w:rPr>
        <w:t>清远市市场监督管理局</w:t>
      </w:r>
      <w:r>
        <w:rPr>
          <w:rFonts w:hint="eastAsia" w:ascii="方正小标宋简体" w:hAnsi="方正小标宋简体" w:eastAsia="方正小标宋简体" w:cs="方正小标宋简体"/>
          <w:sz w:val="44"/>
          <w:szCs w:val="44"/>
          <w:highlight w:val="none"/>
        </w:rPr>
        <w:t>校服产品质量监督抽查实施细则</w:t>
      </w:r>
    </w:p>
    <w:p>
      <w:pPr>
        <w:widowControl w:val="0"/>
        <w:wordWrap/>
        <w:adjustRightInd/>
        <w:snapToGrid/>
        <w:spacing w:beforeAutospacing="0" w:afterAutospacing="0" w:line="560" w:lineRule="exact"/>
        <w:ind w:left="0" w:leftChars="0" w:right="0" w:firstLine="880" w:firstLineChars="200"/>
        <w:jc w:val="center"/>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2025年版</w:t>
      </w:r>
      <w:r>
        <w:rPr>
          <w:rFonts w:hint="eastAsia" w:ascii="仿宋_GB2312" w:hAnsi="仿宋_GB2312" w:eastAsia="仿宋_GB2312" w:cs="仿宋_GB2312"/>
          <w:sz w:val="32"/>
          <w:szCs w:val="32"/>
          <w:highlight w:val="none"/>
          <w:lang w:eastAsia="zh-CN"/>
        </w:rPr>
        <w:t>）</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黑体" w:hAnsi="黑体" w:eastAsia="黑体" w:cs="黑体"/>
          <w:sz w:val="32"/>
          <w:szCs w:val="32"/>
          <w:highlight w:val="none"/>
        </w:rPr>
      </w:pPr>
      <w:r>
        <w:rPr>
          <w:rFonts w:hint="eastAsia" w:ascii="黑体" w:hAnsi="黑体" w:eastAsia="黑体" w:cs="黑体"/>
          <w:sz w:val="32"/>
          <w:szCs w:val="32"/>
          <w:highlight w:val="none"/>
        </w:rPr>
        <w:t>1</w:t>
      </w:r>
      <w:r>
        <w:rPr>
          <w:rFonts w:hint="eastAsia" w:ascii="黑体" w:hAnsi="黑体" w:eastAsia="黑体" w:cs="黑体"/>
          <w:sz w:val="32"/>
          <w:szCs w:val="32"/>
          <w:highlight w:val="none"/>
          <w:lang w:val="en-US" w:eastAsia="zh-CN"/>
        </w:rPr>
        <w:t xml:space="preserve"> </w:t>
      </w:r>
      <w:r>
        <w:rPr>
          <w:rFonts w:hint="eastAsia" w:ascii="黑体" w:hAnsi="黑体" w:eastAsia="黑体" w:cs="黑体"/>
          <w:sz w:val="32"/>
          <w:szCs w:val="32"/>
          <w:highlight w:val="none"/>
        </w:rPr>
        <w:t>抽样方法</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以随机抽样的方式在被抽样生产者、销售者的待销产品中抽取。</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随机数一般可使用随机数表等方法产生。</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每批次产品抽取样品2件/条/套，其中1件/条/套作为检验样品，1件/条/套作为备用样品。如产品属于短裤等尺寸较小产品，检验和备用样品各增加1条。</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黑体" w:hAnsi="黑体" w:eastAsia="黑体" w:cs="黑体"/>
          <w:sz w:val="32"/>
          <w:szCs w:val="32"/>
          <w:highlight w:val="none"/>
        </w:rPr>
      </w:pPr>
      <w:r>
        <w:rPr>
          <w:rFonts w:hint="eastAsia" w:ascii="黑体" w:hAnsi="黑体" w:eastAsia="黑体" w:cs="黑体"/>
          <w:sz w:val="32"/>
          <w:szCs w:val="32"/>
          <w:highlight w:val="none"/>
        </w:rPr>
        <w:t>2 检验依据</w:t>
      </w:r>
    </w:p>
    <w:tbl>
      <w:tblPr>
        <w:tblStyle w:val="3"/>
        <w:tblW w:w="8988" w:type="dxa"/>
        <w:tblInd w:w="-2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4126"/>
        <w:gridCol w:w="3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b/>
                <w:bCs/>
                <w:sz w:val="24"/>
                <w:szCs w:val="24"/>
                <w:highlight w:val="none"/>
                <w:lang/>
              </w:rPr>
            </w:pPr>
            <w:r>
              <w:rPr>
                <w:rFonts w:hint="eastAsia" w:ascii="仿宋_GB2312" w:hAnsi="仿宋_GB2312" w:eastAsia="仿宋_GB2312" w:cs="仿宋_GB2312"/>
                <w:b/>
                <w:bCs/>
                <w:sz w:val="24"/>
                <w:szCs w:val="24"/>
                <w:highlight w:val="none"/>
                <w:lang/>
              </w:rPr>
              <w:t>序号</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b/>
                <w:bCs/>
                <w:sz w:val="24"/>
                <w:szCs w:val="24"/>
                <w:highlight w:val="none"/>
                <w:lang/>
              </w:rPr>
            </w:pPr>
            <w:r>
              <w:rPr>
                <w:rFonts w:hint="eastAsia" w:ascii="仿宋_GB2312" w:hAnsi="仿宋_GB2312" w:eastAsia="仿宋_GB2312" w:cs="仿宋_GB2312"/>
                <w:b/>
                <w:bCs/>
                <w:sz w:val="24"/>
                <w:szCs w:val="24"/>
                <w:highlight w:val="none"/>
                <w:lang/>
              </w:rPr>
              <w:t>检验项目</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b/>
                <w:bCs/>
                <w:sz w:val="24"/>
                <w:szCs w:val="24"/>
                <w:highlight w:val="none"/>
                <w:lang/>
              </w:rPr>
            </w:pPr>
            <w:r>
              <w:rPr>
                <w:rFonts w:hint="eastAsia" w:ascii="仿宋_GB2312" w:hAnsi="仿宋_GB2312" w:eastAsia="仿宋_GB2312" w:cs="仿宋_GB2312"/>
                <w:b/>
                <w:bCs/>
                <w:sz w:val="24"/>
                <w:szCs w:val="24"/>
                <w:highlight w:val="none"/>
                <w:lang/>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甲醛含量</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pH值</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可分解致癌芳香胺染料</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17592—2024</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17592—2011</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耐水色牢度</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耐酸汗渍色牢度</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耐碱汗渍色牢度</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耐干摩擦色牢度</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耐湿摩擦色牢度</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9</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纤维含量</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FZ/T 01057.1—2007</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FZ/T 01057.2—2007</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FZ/T 01057.3—2007</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FZ/T 01057.4—2007</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FZ/T 01057.6—2007</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2910.1—2009</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2910.2—2009</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2910.3—2009</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2910.4—2022</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2910.6—2009</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2910.7—2009</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2910.8—2009</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2910.11—2009</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2910.12—2023</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2910.18—2009</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2910.20—2009</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2910.22—2009</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2910.101—2009</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FZ/T 01101—2008</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FZ/T 01112—2012</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FZ/T 01026—2017</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FZ/T 30003—2009</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16988—2013</w:t>
            </w:r>
          </w:p>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38015—2019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绳带要求</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附件锐利性</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金属针</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GB 31701—2015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w:t>
            </w:r>
          </w:p>
        </w:tc>
        <w:tc>
          <w:tcPr>
            <w:tcW w:w="412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絮用纤维原料要求</w:t>
            </w:r>
          </w:p>
        </w:tc>
        <w:tc>
          <w:tcPr>
            <w:tcW w:w="368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beforeAutospacing="0" w:afterAutospacing="0"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GB 18383—2007 5.1、5.2.1.2、5.2.2、5.2.3、5.2.4</w:t>
            </w:r>
          </w:p>
        </w:tc>
      </w:tr>
    </w:tbl>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执行企业标准、团体标准、地方标准的产品，检验项目参照上述内容执行。</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凡是注日期的文件，其随后所有的修改单（不包括勘误的内容）或修订版不适用于本细则。凡是不注日期的文件，其最新版本适用于本细则。</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黑体" w:hAnsi="黑体" w:eastAsia="黑体" w:cs="黑体"/>
          <w:sz w:val="32"/>
          <w:szCs w:val="32"/>
          <w:highlight w:val="none"/>
        </w:rPr>
      </w:pPr>
      <w:r>
        <w:rPr>
          <w:rFonts w:hint="eastAsia" w:ascii="黑体" w:hAnsi="黑体" w:eastAsia="黑体" w:cs="黑体"/>
          <w:sz w:val="32"/>
          <w:szCs w:val="32"/>
          <w:highlight w:val="none"/>
        </w:rPr>
        <w:t>3 判定规则</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3.1</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依据标准</w:t>
      </w:r>
      <w:bookmarkStart w:id="0" w:name="_GoBack"/>
      <w:bookmarkEnd w:id="0"/>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GB 18383—2007 絮用纤维制品通用技术要求</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GB 18401—2010 国家纺织产品基本安全技术规范</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GB/T 22854—2009 针织学生服</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GB/T 23328—2009 机织学生服</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GB/T 29862—2013 纺织品 纤维含量的标识</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GB 31701—2015 婴幼儿及儿童纺织产品安全技术规范</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GB/T 31888—2015 中小学生校服</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现行有效的企业标准、团体标准、地方标准及产品明示质量要求</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3.2</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判定原则</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经检验，检验项目全部合格，判定为被抽查产品所检项目未发现不合格；检验项目中任一项或一项以上不合格，判定为被抽查产品不合格。</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若被检产品明示的质量要求高于本细则中检验项目依据的标准要求时，应按被检产品明示的质量要求判定。</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若被检产品明示的质量要求低于本细则中检验项目依据的强制性标准要求时，应按照强制性标准要求判定。</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若被检产品明示的质量要求低于或包含本细则中检验项目依据的推荐性标准要求时，应以被检产品明示的质量要求判定。</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若被检产品明示的质量要求缺少本细则中检验项目依据的强制性标准要求时，应按照强制性标准要求判定。</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若被检产品明示的质量要求缺少本细则中检验项目依据的推荐性标准要求时，该项目不参与判定。</w:t>
      </w:r>
    </w:p>
    <w:p>
      <w:pPr>
        <w:widowControl w:val="0"/>
        <w:wordWrap/>
        <w:adjustRightInd/>
        <w:snapToGrid/>
        <w:spacing w:beforeAutospacing="0" w:afterAutospacing="0" w:line="560" w:lineRule="exact"/>
        <w:ind w:left="0" w:leftChars="0" w:right="0" w:firstLine="880" w:firstLineChars="200"/>
        <w:textAlignment w:val="auto"/>
        <w:outlineLvl w:val="9"/>
        <w:rPr>
          <w:rFonts w:hint="eastAsia" w:ascii="仿宋_GB2312" w:hAnsi="仿宋_GB2312" w:eastAsia="仿宋_GB2312" w:cs="仿宋_GB2312"/>
          <w:sz w:val="32"/>
          <w:szCs w:val="32"/>
          <w:highlight w:val="none"/>
        </w:rPr>
      </w:pPr>
    </w:p>
    <w:p>
      <w:pPr>
        <w:widowControl w:val="0"/>
        <w:wordWrap/>
        <w:adjustRightInd/>
        <w:snapToGrid/>
        <w:spacing w:line="560" w:lineRule="exact"/>
        <w:ind w:left="0" w:leftChars="0" w:right="0" w:firstLine="880" w:firstLineChars="200"/>
        <w:textAlignment w:val="auto"/>
        <w:outlineLvl w:val="9"/>
        <w:rPr>
          <w:rFonts w:hint="eastAsia" w:ascii="仿宋_GB2312" w:hAnsi="仿宋_GB2312"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23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6A2B4CE6"/>
    <w:rsid w:val="0BB73F9B"/>
    <w:rsid w:val="274C29F2"/>
    <w:rsid w:val="2C2A6820"/>
    <w:rsid w:val="3DAF5FC2"/>
    <w:rsid w:val="445E4C94"/>
    <w:rsid w:val="6A2B4CE6"/>
    <w:rsid w:val="741A3A0E"/>
    <w:rsid w:val="7D5A1E15"/>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Style w:val="3"/>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2025-06-05T06:39:00Z</dcterms:created>
  <dc:creator>YWB</dc:creator>
  <cp:lastModifiedBy>杨艳华</cp:lastModifiedBy>
  <dcterms:modified xsi:type="dcterms:W3CDTF">2025-06-13T01:27:00Z</dcterms:modified>
  <dc:title>附件15</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