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eastAsia="仿宋_GB2312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</w:rPr>
        <w:t>附件2</w:t>
      </w:r>
    </w:p>
    <w:p>
      <w:pPr>
        <w:spacing w:line="579" w:lineRule="exact"/>
        <w:ind w:left="0" w:leftChars="0" w:right="0" w:firstLine="0" w:firstLineChars="0"/>
        <w:jc w:val="center"/>
        <w:rPr>
          <w:rFonts w:hint="eastAsia" w:ascii="方正小标宋_GBK" w:hAnsi="方正小标宋_GBK" w:eastAsia="方正小标宋_GBK"/>
          <w:color w:val="auto"/>
          <w:sz w:val="44"/>
          <w:highlight w:val="none"/>
        </w:rPr>
      </w:pPr>
      <w:r>
        <w:rPr>
          <w:rFonts w:hint="eastAsia" w:ascii="方正小标宋_GBK" w:hAnsi="方正小标宋_GBK" w:eastAsia="方正小标宋_GBK"/>
          <w:color w:val="auto"/>
          <w:sz w:val="44"/>
          <w:highlight w:val="none"/>
        </w:rPr>
        <w:t>202</w:t>
      </w:r>
      <w:r>
        <w:rPr>
          <w:rFonts w:hint="eastAsia" w:ascii="方正小标宋_GBK" w:hAnsi="方正小标宋_GBK" w:eastAsia="方正小标宋_GBK"/>
          <w:color w:val="auto"/>
          <w:sz w:val="44"/>
          <w:highlight w:val="none"/>
          <w:lang w:val="en-US" w:eastAsia="zh-CN"/>
        </w:rPr>
        <w:t>5</w:t>
      </w:r>
      <w:r>
        <w:rPr>
          <w:rFonts w:hint="eastAsia" w:ascii="方正小标宋_GBK" w:hAnsi="方正小标宋_GBK" w:eastAsia="方正小标宋_GBK"/>
          <w:color w:val="auto"/>
          <w:sz w:val="44"/>
          <w:highlight w:val="none"/>
        </w:rPr>
        <w:t>年第</w:t>
      </w:r>
      <w:r>
        <w:rPr>
          <w:rFonts w:hint="eastAsia" w:ascii="方正小标宋_GBK" w:hAnsi="方正小标宋_GBK" w:eastAsia="方正小标宋_GBK"/>
          <w:color w:val="auto"/>
          <w:sz w:val="44"/>
          <w:highlight w:val="none"/>
          <w:lang w:val="en-US" w:eastAsia="zh-CN"/>
        </w:rPr>
        <w:t>二</w:t>
      </w:r>
      <w:r>
        <w:rPr>
          <w:rFonts w:hint="eastAsia" w:ascii="方正小标宋_GBK" w:hAnsi="方正小标宋_GBK" w:eastAsia="方正小标宋_GBK"/>
          <w:color w:val="auto"/>
          <w:sz w:val="44"/>
          <w:highlight w:val="none"/>
        </w:rPr>
        <w:t>季度食品生产加工环节</w:t>
      </w:r>
    </w:p>
    <w:p>
      <w:pPr>
        <w:spacing w:line="579" w:lineRule="exact"/>
        <w:ind w:left="0" w:leftChars="0" w:right="0" w:firstLine="0" w:firstLineChars="0"/>
        <w:jc w:val="center"/>
        <w:rPr>
          <w:rFonts w:hint="eastAsia" w:ascii="方正小标宋_GBK" w:hAnsi="方正小标宋_GBK" w:eastAsia="方正小标宋_GBK"/>
          <w:color w:val="auto"/>
          <w:sz w:val="44"/>
          <w:highlight w:val="none"/>
        </w:rPr>
      </w:pPr>
      <w:r>
        <w:rPr>
          <w:rFonts w:hint="eastAsia" w:ascii="方正小标宋_GBK" w:hAnsi="方正小标宋_GBK" w:eastAsia="方正小标宋_GBK"/>
          <w:color w:val="auto"/>
          <w:sz w:val="44"/>
          <w:highlight w:val="none"/>
        </w:rPr>
        <w:t>定期抽样检验细则</w:t>
      </w:r>
    </w:p>
    <w:tbl>
      <w:tblPr>
        <w:tblW w:w="4998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7"/>
        <w:gridCol w:w="778"/>
        <w:gridCol w:w="873"/>
        <w:gridCol w:w="873"/>
        <w:gridCol w:w="1169"/>
        <w:gridCol w:w="5556"/>
        <w:gridCol w:w="3136"/>
        <w:gridCol w:w="127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食品大类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食品亚类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食品品种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食品细类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抽检项目（四级）表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抽样数量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复配食品添加剂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4"/>
                <w:bdr w:val="none" w:color="auto" w:sz="0" w:space="0"/>
                <w:lang w:val="en-US" w:eastAsia="zh-CN" w:bidi="ar"/>
              </w:rPr>
              <w:t>铅（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en-US" w:bidi="ar"/>
              </w:rPr>
              <w:t>Pb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）、砷（以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en-US" w:bidi="ar"/>
              </w:rPr>
              <w:t>As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计）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从同一批次样品堆的4个不同部位抽取相应数量的样品，抽取样品数量至少为500g，约1/2作为检验样品，约1/2为复检备份样品。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食品用香精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4"/>
                <w:bdr w:val="none" w:color="auto" w:sz="0" w:space="0"/>
                <w:lang w:val="en-US" w:eastAsia="zh-CN" w:bidi="ar"/>
              </w:rPr>
              <w:t>砷（以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en-US" w:bidi="ar"/>
              </w:rPr>
              <w:t>As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计）含量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en-US" w:bidi="ar"/>
              </w:rPr>
              <w:t>/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无机砷含量、菌落总数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从同一批次样品堆的4个不同部位抽取相应数量的样品，抽取样品数量至少为500g，约1/2作为检验样品，约1/2为复检备份样品。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明胶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4"/>
                <w:bdr w:val="none" w:color="auto" w:sz="0" w:space="0"/>
                <w:lang w:val="en-US" w:eastAsia="zh-CN" w:bidi="ar"/>
              </w:rPr>
              <w:t>铬（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en-US" w:bidi="ar"/>
              </w:rPr>
              <w:t>Cr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）、铅（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en-US" w:bidi="ar"/>
              </w:rPr>
              <w:t>Pb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）、总砷（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en-US" w:bidi="ar"/>
              </w:rPr>
              <w:t>As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从同一批次样品堆的4个不同部位抽取相应数量的样品，抽取样品数量至少为1kg，约1/2作为检验样品，约1/2为复检备份样品。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其他单一食品添加剂(乳化剂（司盘类物质\吐温类物质）\吗啉脂肪酸盐果蜡、甘油、聚二甲基硅氧烷、氨水、维生素K2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铅(以Pb计)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从同一批次样品堆的4个不同部位抽取相应数量的样品，抽取样品数量至少为500g，约1/2作为检验样品，约1/2为复检备份样品。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食品添加剂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氮气：氮（N2）含量、氧（O2）含量、二氧化碳（CO2）、一氧化碳（CO）、水分</w:t>
            </w:r>
          </w:p>
        </w:tc>
        <w:tc>
          <w:tcPr>
            <w:tcW w:w="11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抽样数量为2瓶，所抽样品中1瓶为检验样品，1瓶为复检备份样品。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氢气：氢（H2）含量、氮（N2）含量、氧（O2）含量、水分</w:t>
            </w:r>
          </w:p>
        </w:tc>
        <w:tc>
          <w:tcPr>
            <w:tcW w:w="11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二氧化碳：二氧化碳（CO2）含量、氧（O2）、一氧化碳（CO）、水分，</w:t>
            </w:r>
          </w:p>
        </w:tc>
        <w:tc>
          <w:tcPr>
            <w:tcW w:w="11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茶饮料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茶饮料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茶饮料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茶多酚、咖啡因、脱氢乙酸及其钠盐（以脱氢乙酸计）、安赛蜜、甜蜜素（以环己基氨基磺酸计）、阿斯巴甜、菌落总数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抽取样品量不少于2L(kg), 不少于10个独立包装。所抽取样品品分为2份，约4/5为检验样品，约1/5为复检备份样品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碳酸饮料(汽水)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碳酸饮料(汽水)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碳酸饮料(汽水)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二氧化碳气容量、苯甲酸及其钠盐（以苯甲酸计）、山梨酸及其钾盐（以山梨酸计）、防腐剂混合使用时 各自用量占其最大使用量的比例之和、安赛蜜、甜蜜素（以环己基氨基磺酸计）、阿斯巴甜、菌落总数、 霉菌、酵母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抽取样品品量不少于2L(kg), 不少于10个独立包装。所抽取样品品分为2份，约4/5为检验样品，约1/5为复检备份样品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果蔬汁类及其饮料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果蔬汁类及其饮料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果蔬汁类及其饮料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苯甲酸及其钠盐（以苯甲酸计）、山梨酸及其钾盐（以山梨酸计）、脱氢乙酸 及其钠盐（以脱氢乙酸计）、纳他霉素、防腐剂混合使用时各自用量占其最大使用量的比例之和、安赛蜜、 甜蜜素（以环己基氨基磺酸计）、阿斯巴甜、合成着色剂（柠檬黄、苋菜红、胭脂红、日落黄、亮蓝）a、菌落总数、大肠菌群、霉菌、酵母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抽取样品品量不少于2L(kg), 不少于10个独立包装。所抽取样品品分为2份，约4/5为检验样品，约1/5为复检备份样品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a.视产品具体色泽而定。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其他饮料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其他饮料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其他饮料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苯甲酸及其钠盐（以苯甲酸计）、山梨酸及其钾盐（以山梨酸计）、脱氢乙酸及其钠盐（以脱氢乙酸计）、 防腐剂混合使用时各自用量占其最大使用量的比例之和、糖精钠（以糖精计）、安赛蜜、甜蜜素（以环己基氨基磺酸计）、阿斯巴甜、合成着色剂（柠檬黄、苋菜红、胭脂红、日落黄、亮蓝）、菌落总数、大肠菌群、霉菌、酵母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抽取样品品量不少于2L(kg),  不少于10个独立包装，约4/5为检验样品，约1/5为复检备份样品。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蛋白饮料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蛋白饮料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蛋白饮料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蛋白质、乳酸菌数a、三聚氰胺b、氰化物（以HCN 计）、脱氢乙酸及其钠盐（以脱氢乙酸计）、安赛蜜、 甜蜜素（以环己基氨基磺酸计）、阿斯巴甜、菌落总数、大肠菌群、霉菌、酵母、商业无菌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抽取样品品量不少于1.5L(kg),  不少于10个独立包装。所抽取样品品分为2份，约4/5为检验样品，约1/5为复检备份样品。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a. 限添加乳酸菌的活菌（未杀菌）型产品检测。 b. 限配料中含乳的产品检测。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冷冻饮品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冷冻饮品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冷冻饮品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冷冻饮品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蛋白质、甜蜜素（以环己基氨基磺酸计）、糖精钠（以糖精计）、安赛蜜、三氯蔗糖、合成着色剂（柠檬黄、 日落黄）、菌落总数、大肠菌群、沙门氏菌、单核细胞增生李斯特氏菌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净含量不超过500g 的产品，抽样量不少于12个独立包装，且不少于1kg,  组合型样品根据检验和复检需要适当增加抽样量；净含量在500g 以上5kg 以下的产品，抽样量不少于 8个独立包装。所抽取样品分为2份，约3/4为检验样品，约1/4为复检备份样品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速冻食品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速冻面米食品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速冻面米食品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速冻面米生制品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过氧化值（以脂肪计）、铅（以 Pb 计）、糖精钠（以糖精计）、甜蜜素（以环己基氨基磺酸计）、合成着色剂（柠檬黄、日落黄、苋菜红、亮蓝）</w:t>
            </w:r>
            <w:bookmarkStart w:id="0" w:name="_GoBack"/>
            <w:bookmarkEnd w:id="0"/>
          </w:p>
        </w:tc>
        <w:tc>
          <w:tcPr>
            <w:tcW w:w="11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抽样数量不少于2kg (玉米制品不少于3kg),     且非即食速冻面米制品不少于4个包装，即食速冻面米制品不少于9个包装。所抽取样品分成2份，即食速冻面米制品约2/3为检验样品，约1/3为复检备份样品、 非即食速冻面米制品约1/2为检验样品，约1/2为复检备份样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速冻面米食品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速冻面米食品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速冻面米熟制品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过氧化值（以脂肪计）、铅（以 Pb 计）、糖精钠（以糖精计）、甜蜜素（以环己基氨基磺酸计）、合成着色剂（柠檬黄、日落黄、苋菜红、亮蓝）、菌落总数、大肠菌群、沙门氏菌、金黄色葡萄球菌</w:t>
            </w:r>
          </w:p>
        </w:tc>
        <w:tc>
          <w:tcPr>
            <w:tcW w:w="11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速冻其他食品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速冻调制水产制品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速冻调制水产制品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挥发性盐基氮、苯甲酸及其钠盐（以苯甲酸计）、山梨酸及其钾盐（以山梨酸计）、菌落总数、大肠菌群、沙门氏菌、副溶血性弧菌、单核细胞增生李斯特氏菌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非即食速冻调制水产制品抽样数量不少于1.5kg, 且不少于4个独立包装，即食 速冻调制水产制品抽样数量不少于2kg, 且不少于8个独立包装。非即食速冻调制水产制品约1/2为检验样品，约1/2为复检备份 样品；即食速冻调制水产制品约3/4为检验样品，约1/4为复检备份样品。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预包装食品按 GB 29921 判定，预先包装但需要计量称重的散装食品按 GB 31607 判定。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速冻肉制品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速冻调理肉制品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过氧化值（以脂肪计）、铅（以 Pb 计）、铬（以 Cr 计）、合成着色剂（胭脂红、柠檬黄、日落黄、 诱惑红）、亚硝酸盐、菌落总数、大肠菌群、沙门氏菌、金黄色葡萄球菌、单核细胞增生李斯特氏菌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非即食速冻调理肉制品抽样数量不少于1.5kg,  且不少于4个独立包装，即食速 冻调理肉制品抽样数量不少于2kg,   且不少于8个独立包装。非即食速冻调理肉制品约1/2为检验样品，约1/2为复检备份样品；即食速冻调理肉制品约3/4为检验样品，约1/4为复检备份样品。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速冻其他食品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速冻菜肴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无机砷、铅、铬、甲基汞、镉</w:t>
            </w:r>
          </w:p>
        </w:tc>
        <w:tc>
          <w:tcPr>
            <w:tcW w:w="11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抽取样品量不少于1kg，不少于4个独立包装，所抽取样品中1/2作为检验样品；1/2作为备份样品。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速冻汤羹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无机砷、铅、铬、甲基汞、镉</w:t>
            </w:r>
          </w:p>
        </w:tc>
        <w:tc>
          <w:tcPr>
            <w:tcW w:w="11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速冻其他食品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铅、铬、镉</w:t>
            </w:r>
          </w:p>
        </w:tc>
        <w:tc>
          <w:tcPr>
            <w:tcW w:w="11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蛋制品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蛋制品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再制蛋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再制蛋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铅（以 Pb 计）、苯甲酸及其钠盐（以苯甲酸计）、山梨酸及其钾盐（以山梨酸计）、菌落总数、大肠菌群、 沙门氏菌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再制蛋和其他类，抽取样品量不少于2kg,且不少于8个独立包装。再制蛋和其他类，所抽取样品分为2份，约3/4为检验样品，约1/4为复检备份样品(备份样品),复检备份样品不少于2个独立包装，且样品量不少于500g。冰蛋和干蛋类仅检测微生物项目无复检备份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微生物限即食再制蛋制品检测。商业无菌限以罐头食品加工工艺生产的产品检测。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月饼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月饼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月饼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酸价（以脂肪计）（KOH）、过氧化值（以脂肪计）、糖精钠（以糖精计）、苯甲酸及其钠盐（以苯甲酸计）、山梨酸及其钾盐（以山梨酸计）、铝的残留量（干样品，以 Al 计）、丙酸及其钠盐、钙盐（以丙酸计）、脱氢乙酸及其钠盐（以脱氢乙酸计）、纳他霉素、合成着色剂（柠檬黄、 日落黄、胭脂红、 苋菜红、亮蓝）、防腐剂混合使用时各自用量占其最大使用量的比例之和、菌落总数、 大肠菌群、金黄色葡萄球菌、沙门氏菌、霉菌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抽取样品量不少于2kg, 不少于8个独立包装。所抽取样品分为2份，约3/4为检验样品，约1/4为复检备份样品。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其他食品</w:t>
            </w:r>
          </w:p>
        </w:tc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其他食品</w:t>
            </w:r>
          </w:p>
        </w:tc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其他食品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食品馅料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4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苯甲酸及其钠盐（以苯甲酸计）、山梨酸及其钾盐（以山梨酸计）、铝的残留量（干样品，以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en-US" w:bidi="ar"/>
              </w:rPr>
              <w:t>Al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计）、丙酸及其钠盐、钙盐（以丙酸计）、脱氢乙酸及其钠盐（以脱氢乙酸计）、甜蜜素（以环己基氨基磺酸计）、防腐剂混合使用时各自用量占其最大使用量的比例之和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抽取样品量至少为2kg，所抽取样品分为 2 份，约 1/2 为检验样品，约 1/2 为复检备份样品。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汤料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 Pb 计）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抽取样品数量至少为1kg，约1/2作为检验样品，约1/2为复检备份样品。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预拌粉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铅(以Pb计)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抽取样品数量至少为1kg，约1/2作为检验样品，约1/2为复检备份样品。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酵母提取物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铅(以Pb计)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取样品量不少于 4个独立包装，总量不少于500g。约1/2作为检验样品，约1/2为复检备份样品。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可可及焙烤咖啡产品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焙炒咖啡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焙炒咖啡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焙炒咖啡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咖啡因、铅（以 Pb 计）、赭曲霉毒素 A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抽取样品量至少为600g,   不少于3个独立包装，约2/3为检验样品，约1/3为复检备份样品样品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方便食品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方便食品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其他方便食品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方便粥、方便盒饭、冷面及其他熟制方便食品等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酸价（以脂肪计）（KOH）、过氧化值（以脂肪计）、铅（以 Pb 计）、黄曲霉毒素 B,、苯甲酸及其钠盐（以苯甲酸计）、山梨酸及其钾盐（以山梨酸计）、脱氢乙酸及其钠盐（以脱氢乙酸计）、糖精钠（以糖精计）、 菌落总数、大肠菌群、霉菌、沙门氏菌、金黄色葡萄球菌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抽样数量不少于8个独立包装。总量约2.5kg。约3/4为检验样品，约1/4为复检备份样品[冲调类方便食品(玉米制品、花生制品)备份样品不少于1.0kg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调味料</w:t>
            </w:r>
          </w:p>
        </w:tc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调味料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固体复合调味料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鸡粉、鸡精调味料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谷氨酸钠、呈味核苷酸二钠、铅（以 Pb 计）、糖精钠（以糖精计）、甜蜜素（以环己基氨基磺酸计）、安赛蜜、菌落总数、大肠菌群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抽取样品品量不少于4个独立包装，总量不少于1.3kg。约1/2作为检验样品，约1/2为复检备份样品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固体复合调味料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其他固体调味料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铅（以 Pb 计）、苏丹红 I 、苏丹红Ⅱ 、苏丹红Ⅲ 、苏丹红 IV 、罂粟碱、吗啡、可待因、那可丁、苯甲酸 及其钠盐（以苯甲酸计）、山梨酸及其钾盐（以山梨酸计）、脱氢乙酸及其钠盐（以脱氢乙酸计）、防腐剂 混合使用时各自用量占其最大使用量的比例之和、糖精钠（以糖精计）、甜蜜素（以环己基氨基磺酸计）、安赛蜜、阿斯巴甜、二氧化硫残留量</w:t>
            </w:r>
          </w:p>
        </w:tc>
        <w:tc>
          <w:tcPr>
            <w:tcW w:w="11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抽取样品品量不少于4个独立包装，总量不少于1.3kg。约1/2作为检验样品，约1/2为复检备份样品(备份样品不少于600g)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半固体复合调味料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辣椒酱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苯甲酸及其钠盐（以苯甲酸计）、山梨酸及其钾盐（以山梨酸计）、脱氢乙酸及其钠盐（以脱氢乙酸计）、 防腐剂混合使用时各自用量占其最大使用量的比例之和、甜蜜素（以环己基氨基磺酸计）、二氧化硫残留量</w:t>
            </w:r>
          </w:p>
        </w:tc>
        <w:tc>
          <w:tcPr>
            <w:tcW w:w="11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半固体复合调味料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火锅底料、麻辣烫底料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罂粟碱、吗啡、可待因、那可丁、苯甲酸及其钠盐（以苯甲酸计）、山梨酸及其钾盐（以山梨酸计）、脱氢乙酸及其钠盐（以脱氢乙酸计）、防腐剂混合使用时各自用量占其最大使用量的比例之和</w:t>
            </w:r>
          </w:p>
        </w:tc>
        <w:tc>
          <w:tcPr>
            <w:tcW w:w="11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半固体复合调味料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其他半固体调味料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铅（以 Pb 计）、罗丹明 B 、罂粟碱、吗啡、可待因、那可丁、苯甲酸及其钠盐（以苯甲酸计）、山梨酸及 其钾盐（以山梨酸计）、脱氢乙酸及其钠盐（以脱氢乙酸计）、防腐剂混合使用时各自用量占其最大使用量的比例之和、甜蜜素（以环己基氨基磺酸计）、安赛蜜</w:t>
            </w:r>
          </w:p>
        </w:tc>
        <w:tc>
          <w:tcPr>
            <w:tcW w:w="11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液体复合调味料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蚝油、虾油、鱼露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氨基酸态氮a、苯甲酸及其钠盐（以苯甲酸计）、山梨酸及其钾盐（以山梨酸计）、脱氢乙酸及其钠盐（以脱氢乙酸计）、防腐剂混合使用时各自用量占其最大使用量的比例之和、菌落总数、大肠菌群</w:t>
            </w:r>
          </w:p>
        </w:tc>
        <w:tc>
          <w:tcPr>
            <w:tcW w:w="11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抽取样品品量不少于8个独立包装，总量不少于2L(kg) 。 约3/4作为检验样品，约1/4为复检备份样品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a. 限产品明示标准或质量要求有限量规定时检测。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液体复合调味料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其他液体调味料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苯甲酸及其钠盐（以苯甲酸计）、山梨酸及其钾盐（以山梨酸计）、脱氢乙酸及其钠盐（以脱氢乙酸计）、 防腐剂混合使用时各自用量占其最大使用量的比例之和、糖精钠（以糖精计）、甜蜜素（以环己基氨基磺酸计）、合成着色剂（柠檬黄、日落黄、胭脂红、诱惑红）、相同色泽着色剂混合使用时各自用量占其最大使用量的比例之和、菌落总数a</w:t>
            </w:r>
          </w:p>
        </w:tc>
        <w:tc>
          <w:tcPr>
            <w:tcW w:w="11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a. 限产品明示标准和质量要求有限量规定时检测。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食用油、油脂及其制品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食用动物油脂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食用动物油脂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食用动物油脂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酸价、过氧化值、丙二醛、苯并[a]芘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抽样数量约1.5L(kg), 且不少于3个独立包装，约2/3为检验样品，约1/3为复检备份样品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食用油脂制品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食用油脂制品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食用油脂制品(人造奶油)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酸价（以脂肪计）、过氧化值（以脂肪计）、大肠菌群、霉菌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取出不少于4个独立包装的样品，约1.5L(kg);约3/4为检验样品，约1/4为复检备份样品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蔬菜制品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蔬菜制品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其他蔬菜制品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其他蔬菜制品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铅（以 Pb 计）、苯甲酸及其钠盐（以苯甲酸计）、山梨酸及其钾盐（以山梨酸计）、脱氢乙酸及 其钠盐（以脱氢乙酸计）、二氧化硫残留量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抽取样品量不少于1.3kg,  不少于4个独立包装；优先抽取近期生产的产品，所抽取样品分为2份，约1/2为检验样品，约1/2为复检备份样品(复检备份样品应大于600g, )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肉制品</w:t>
            </w:r>
          </w:p>
        </w:tc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熟肉制品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酱卤肉制品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酱卤肉制品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镉（以 Cd 计）、铬（以 Cr 计）、总砷（以 As 计）、N-二甲基亚硝胺、亚硝酸盐（以亚硝酸钠计）、 苯甲酸及其钠盐（以苯甲酸计）、山梨酸及其钾盐（以山梨酸计）、脱氢乙酸及其钠盐（以脱氢乙酸计）、纳他霉素、防腐剂混合使用时各自用量占其最大使用量的比例之和、糖精钠（以糖精计）、合成着色剂（柠檬黄、日落黄、胭脂红、诱惑红）、菌落总数、大肠菌群、沙门氏菌、金黄色葡萄球菌、单核细胞增生李斯特氏菌、商业无菌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酱卤肉制品、熟肉干制品、熏烧烤肉制品、熏煮香肠火腿制品抽样量不少于2kg,  且不少于8个独立包装。 约3/4为检验样品，约1/4为复检备份样品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熏烧烤肉制品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熏烧烤肉制品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苯并[a]芘、N-二甲基亚硝胺、亚硝酸盐（以亚硝酸钠计）、苯甲酸及其钠盐（以苯甲酸计）、 山梨酸及其钾盐（以山梨酸计）、纳他霉素、合成着色剂（柠檬黄、 日落黄、胭脂红）、菌落总数、大肠菌群、沙门氏菌、金黄色葡萄球菌、单核细胞增生李斯特氏菌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酱卤肉制品、熟肉干制品、熏烧烤肉制品、熏煮香肠火腿制品抽样量不少于2kg,  且不少于8个独立包装。约3/4为检验样品，约1/4为复检备份样品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发酵肉制品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发酵肉制品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亚硝酸盐（以亚硝酸钠计）、纳他霉素、大肠菌群a、沙门氏菌、金黄色葡萄球菌、单核细胞增生李斯特氏菌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发酵肉制品、油炸肉制品抽样量不少于1.1kg,且不少于8个独立包装。 约3/4为检验样品，约1/4为复检备份样品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a.限预包装食品检测。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熟肉干制品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熟肉干制品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铅（以 Pb 计）、N-二甲基亚硝胺、苯甲酸及其钠盐（以苯甲酸计）、山梨酸及其钾盐（以山梨酸计）、脱氢乙酸及其钠盐（以脱氢乙酸计）、防腐剂混合使用时各自用量占其最大使用量的比例之和、合成着色剂（胭脂红、诱惑红）、菌落总数a、大肠菌群a、沙门氏菌、金黄色葡萄球菌、单核细胞增生李斯特氏菌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酱卤肉制品、熟肉干制品、熏烧烤肉制品、熏煮香肠火腿制品抽样量不少于2kg,  且不少于8个独立包装。 约3/4为检验样品，约1/4为复检备份样品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a.限预包装食品检测。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调理肉制品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调理肉制品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调理肉制品（非速冻）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苯甲酸及其钠盐（以苯甲酸计）、山梨酸及其钾盐（以山梨酸计）、脱氢乙酸及其钠盐（以脱氢乙酸计）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调理肉制品(非速冻)抽样量可食部分不少于450g;且不少于4个独立包装。约1/2为检验样品，约1/2为复检备份样品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水产制品</w:t>
            </w:r>
          </w:p>
        </w:tc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水产制品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其他水产品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其他水产制品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铅（以 Pb 计）、苯甲酸及其钠盐（以苯甲酸计）、山梨酸及其钾盐（以山梨酸计）、脱氢乙酸及其钠盐（以脱氢乙酸计）、合成着色剂（柠檬黄）、甜蜜素（以环己基氨基磺酸计）、防腐剂混合使用时各自用量占 其最大使用量的比例之和、菌落总数</w:t>
            </w:r>
          </w:p>
        </w:tc>
        <w:tc>
          <w:tcPr>
            <w:tcW w:w="11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抽取样品量不少于1kg 不少于4个独立包装。所抽取样品分为2份，约1/2 为检验样品，约1/2为复检备份样品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熟制动物性水产品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熟制动物性水产制品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 Pb 计）、镉（以 Cd 计）、苯甲酸及其钠盐（以苯甲酸计）、山梨酸及其钾盐（以山梨酸计）、 甜蜜素（以环己基氨基磺酸计）、脱氢乙酸及其钠盐（以脱氢乙酸计）</w:t>
            </w:r>
          </w:p>
        </w:tc>
        <w:tc>
          <w:tcPr>
            <w:tcW w:w="11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干制水产品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预制动物性水产干制品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过氧化值（以脂肪计）、镉（以 Cd 计）、苯甲酸及其钠盐（以苯甲酸计）、山梨酸及其钾盐（以山梨酸 计）、合成着色剂（柠檬黄、胭脂红、 日落黄）</w:t>
            </w:r>
          </w:p>
        </w:tc>
        <w:tc>
          <w:tcPr>
            <w:tcW w:w="11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罐头</w:t>
            </w:r>
          </w:p>
        </w:tc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罐头</w:t>
            </w:r>
          </w:p>
        </w:tc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畜禽水产罐头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畜禽肉类罐头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铅（以 Pb 计）、镉（以 Cd 计）、苯甲酸及其钠盐（以苯甲酸计）、山梨酸及其钾盐（以山梨酸计）、脱氢 乙酸及其钠盐（以脱氢乙酸计）、商业无菌</w:t>
            </w:r>
          </w:p>
        </w:tc>
        <w:tc>
          <w:tcPr>
            <w:tcW w:w="11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抽取样品量不少于6个独立包装，总量不少于1.5kg。所抽取样品分为2份，约2/3为检验样品，约1/3为复检备份样品(备份样品)。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水产动物类罐头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组胺a 、铅（以 Pb 计）、无机砷（以 As 计）、脱氢乙酸及其钠盐（以脱氢乙酸计）、苯甲酸及其钠盐（以苯 甲酸计）、山梨酸及其钾盐（以山梨酸计）、糖精钠（以糖精计）、甜蜜素（以环己基氨基磺酸计）、商业无菌</w:t>
            </w:r>
          </w:p>
        </w:tc>
        <w:tc>
          <w:tcPr>
            <w:tcW w:w="11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a. 仅适用于鲐鱼、鲹鱼、沙丁鱼罐头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茶叶及相关制品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含茶制品和代用茶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代用茶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代用茶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4"/>
                <w:bdr w:val="none" w:color="auto" w:sz="0" w:space="0"/>
                <w:lang w:val="en-US" w:eastAsia="zh-CN" w:bidi="ar"/>
              </w:rPr>
              <w:t>铅（以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en-US" w:bidi="ar"/>
              </w:rPr>
              <w:t>Pb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计）、二氧化硫残留量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抽取样品数量至少为1.4kg，约1/2作为检验样品，约1/2为复检备份样品。(备份样品不少于600g）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1BAB"/>
    <w:rsid w:val="003E200F"/>
    <w:rsid w:val="1E1A6F42"/>
    <w:rsid w:val="32FB2F51"/>
    <w:rsid w:val="3BF343BE"/>
    <w:rsid w:val="3E2E4DE5"/>
    <w:rsid w:val="3F0A2A23"/>
    <w:rsid w:val="4F7A6CE0"/>
    <w:rsid w:val="57C1258D"/>
    <w:rsid w:val="7AD01BAB"/>
    <w:rsid w:val="7E38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_GBK"/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</w:rPr>
  </w:style>
  <w:style w:type="character" w:default="1" w:styleId="7">
    <w:name w:val="Default Paragraph Font"/>
    <w:link w:val="8"/>
    <w:semiHidden/>
    <w:qFormat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420" w:firstLineChars="200"/>
    </w:pPr>
    <w:rPr>
      <w:rFonts w:eastAsia="仿宋"/>
      <w:sz w:val="28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customStyle="1" w:styleId="8">
    <w:name w:val=" Char Char Char Char Char Char1 Char"/>
    <w:basedOn w:val="1"/>
    <w:link w:val="7"/>
    <w:qFormat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9">
    <w:name w:val="正文仿宋gb"/>
    <w:qFormat/>
    <w:uiPriority w:val="0"/>
    <w:pPr>
      <w:spacing w:line="560" w:lineRule="exact"/>
    </w:pPr>
    <w:rPr>
      <w:rFonts w:ascii="Calibri" w:hAnsi="Calibri" w:eastAsia="仿宋_GB2312" w:cstheme="minorBidi"/>
      <w:sz w:val="32"/>
    </w:rPr>
  </w:style>
  <w:style w:type="character" w:customStyle="1" w:styleId="10">
    <w:name w:val="font112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16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bscript"/>
    </w:rPr>
  </w:style>
  <w:style w:type="character" w:customStyle="1" w:styleId="12">
    <w:name w:val="font15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141"/>
    <w:basedOn w:val="7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14">
    <w:name w:val="font11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6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7">
    <w:name w:val="font0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perscript"/>
    </w:rPr>
  </w:style>
  <w:style w:type="character" w:customStyle="1" w:styleId="18">
    <w:name w:val="font12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9">
    <w:name w:val="font9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1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2">
    <w:name w:val="font131"/>
    <w:basedOn w:val="7"/>
    <w:qFormat/>
    <w:uiPriority w:val="0"/>
    <w:rPr>
      <w:rFonts w:ascii="Arial Unicode MS" w:hAnsi="Arial Unicode MS" w:eastAsia="Arial Unicode MS" w:cs="Arial Unicode MS"/>
      <w:color w:val="000000"/>
      <w:sz w:val="18"/>
      <w:szCs w:val="18"/>
      <w:u w:val="none"/>
    </w:rPr>
  </w:style>
  <w:style w:type="character" w:customStyle="1" w:styleId="23">
    <w:name w:val="font101"/>
    <w:basedOn w:val="7"/>
    <w:qFormat/>
    <w:uiPriority w:val="0"/>
    <w:rPr>
      <w:rFonts w:hint="eastAsia" w:ascii="宋体" w:hAnsi="宋体" w:eastAsia="宋体" w:cs="宋体"/>
      <w:color w:val="000000"/>
      <w:sz w:val="11"/>
      <w:szCs w:val="11"/>
      <w:u w:val="none"/>
    </w:rPr>
  </w:style>
  <w:style w:type="character" w:customStyle="1" w:styleId="24">
    <w:name w:val="font8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2025-01-02T03:31:00Z</dcterms:created>
  <dc:creator>黄汉杰</dc:creator>
  <cp:lastModifiedBy>黄汉杰</cp:lastModifiedBy>
  <dcterms:modified xsi:type="dcterms:W3CDTF">2025-07-07T07:15:08Z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