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b/>
          <w:bCs/>
          <w:color w:val="auto"/>
          <w:sz w:val="24"/>
          <w:szCs w:val="24"/>
          <w:lang w:eastAsia="zh-CN"/>
        </w:rPr>
      </w:pPr>
      <w:r>
        <w:rPr>
          <w:rFonts w:hint="eastAsia"/>
          <w:b/>
          <w:bCs/>
          <w:color w:val="auto"/>
          <w:sz w:val="24"/>
          <w:szCs w:val="24"/>
          <w:lang w:eastAsia="zh-CN"/>
        </w:rPr>
        <w:t>附件二：建筑起重机械监督抽检不合格项目分类处理表</w:t>
      </w:r>
    </w:p>
    <w:p>
      <w:pPr>
        <w:jc w:val="center"/>
        <w:rPr>
          <w:rFonts w:hint="eastAsia"/>
          <w:color w:val="auto"/>
          <w:lang w:val="en-US" w:eastAsia="zh-CN"/>
        </w:rPr>
      </w:pPr>
      <w:r>
        <w:rPr>
          <w:rFonts w:hint="eastAsia"/>
          <w:color w:val="auto"/>
          <w:lang w:eastAsia="zh-CN"/>
        </w:rPr>
        <w:t>表</w:t>
      </w:r>
      <w:r>
        <w:rPr>
          <w:rFonts w:hint="eastAsia"/>
          <w:color w:val="auto"/>
          <w:lang w:val="en-US" w:eastAsia="zh-CN"/>
        </w:rPr>
        <w:t>1  塔式起重机</w:t>
      </w:r>
    </w:p>
    <w:tbl>
      <w:tblPr>
        <w:tblStyle w:val="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678"/>
        <w:gridCol w:w="915"/>
        <w:gridCol w:w="991"/>
        <w:gridCol w:w="930"/>
        <w:gridCol w:w="825"/>
        <w:gridCol w:w="779"/>
        <w:gridCol w:w="1200"/>
        <w:gridCol w:w="1095"/>
        <w:gridCol w:w="1290"/>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blHeader/>
          <w:jc w:val="right"/>
        </w:trPr>
        <w:tc>
          <w:tcPr>
            <w:tcW w:w="534" w:type="dxa"/>
            <w:vMerge w:val="restart"/>
            <w:noWrap w:val="0"/>
            <w:vAlign w:val="center"/>
          </w:tcPr>
          <w:p>
            <w:pPr>
              <w:jc w:val="center"/>
              <w:rPr>
                <w:rFonts w:hint="eastAsia" w:ascii="黑体" w:eastAsia="黑体"/>
                <w:b/>
                <w:color w:val="auto"/>
              </w:rPr>
            </w:pPr>
          </w:p>
        </w:tc>
        <w:tc>
          <w:tcPr>
            <w:tcW w:w="678" w:type="dxa"/>
            <w:vMerge w:val="restart"/>
            <w:noWrap w:val="0"/>
            <w:vAlign w:val="center"/>
          </w:tcPr>
          <w:p>
            <w:pPr>
              <w:rPr>
                <w:rFonts w:hint="eastAsia" w:ascii="黑体" w:eastAsia="黑体"/>
                <w:b/>
                <w:color w:val="auto"/>
              </w:rPr>
            </w:pPr>
            <w:r>
              <w:rPr>
                <w:rFonts w:hint="eastAsia" w:ascii="黑体" w:eastAsia="黑体"/>
                <w:b/>
                <w:color w:val="auto"/>
              </w:rPr>
              <w:t>项类</w:t>
            </w:r>
          </w:p>
        </w:tc>
        <w:tc>
          <w:tcPr>
            <w:tcW w:w="915" w:type="dxa"/>
            <w:vMerge w:val="restart"/>
            <w:noWrap w:val="0"/>
            <w:vAlign w:val="center"/>
          </w:tcPr>
          <w:p>
            <w:pPr>
              <w:jc w:val="center"/>
              <w:rPr>
                <w:rFonts w:hint="eastAsia" w:ascii="黑体" w:eastAsia="黑体"/>
                <w:b/>
                <w:color w:val="auto"/>
              </w:rPr>
            </w:pPr>
            <w:r>
              <w:rPr>
                <w:rFonts w:hint="eastAsia" w:ascii="黑体" w:eastAsia="黑体"/>
                <w:b/>
                <w:color w:val="auto"/>
              </w:rPr>
              <w:t>项目</w:t>
            </w:r>
          </w:p>
          <w:p>
            <w:pPr>
              <w:jc w:val="center"/>
              <w:rPr>
                <w:rFonts w:hint="eastAsia" w:ascii="黑体" w:eastAsia="黑体"/>
                <w:b/>
                <w:color w:val="auto"/>
              </w:rPr>
            </w:pPr>
            <w:r>
              <w:rPr>
                <w:rFonts w:hint="eastAsia" w:ascii="黑体" w:eastAsia="黑体"/>
                <w:b/>
                <w:color w:val="auto"/>
              </w:rPr>
              <w:t>代号</w:t>
            </w:r>
          </w:p>
        </w:tc>
        <w:tc>
          <w:tcPr>
            <w:tcW w:w="3525" w:type="dxa"/>
            <w:gridSpan w:val="4"/>
            <w:vMerge w:val="restart"/>
            <w:noWrap w:val="0"/>
            <w:vAlign w:val="center"/>
          </w:tcPr>
          <w:p>
            <w:pPr>
              <w:ind w:firstLine="422"/>
              <w:jc w:val="center"/>
              <w:rPr>
                <w:rFonts w:hint="eastAsia" w:ascii="黑体" w:eastAsia="黑体"/>
                <w:b/>
                <w:color w:val="auto"/>
              </w:rPr>
            </w:pPr>
            <w:r>
              <w:rPr>
                <w:rFonts w:hint="eastAsia" w:ascii="黑体" w:eastAsia="黑体"/>
                <w:b/>
                <w:color w:val="auto"/>
              </w:rPr>
              <w:t>检验评定内容及要求</w:t>
            </w:r>
          </w:p>
        </w:tc>
        <w:tc>
          <w:tcPr>
            <w:tcW w:w="4599" w:type="dxa"/>
            <w:gridSpan w:val="4"/>
            <w:noWrap w:val="0"/>
            <w:vAlign w:val="center"/>
          </w:tcPr>
          <w:p>
            <w:pPr>
              <w:jc w:val="center"/>
              <w:rPr>
                <w:rFonts w:hint="eastAsia" w:ascii="黑体" w:eastAsia="黑体"/>
                <w:b/>
                <w:color w:val="auto"/>
                <w:lang w:eastAsia="zh-CN"/>
              </w:rPr>
            </w:pPr>
            <w:r>
              <w:rPr>
                <w:rFonts w:hint="eastAsia" w:ascii="黑体" w:eastAsia="黑体"/>
                <w:b/>
                <w:color w:val="auto"/>
                <w:lang w:eastAsia="zh-CN"/>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blHeader/>
          <w:jc w:val="right"/>
        </w:trPr>
        <w:tc>
          <w:tcPr>
            <w:tcW w:w="534" w:type="dxa"/>
            <w:vMerge w:val="continue"/>
            <w:noWrap w:val="0"/>
            <w:vAlign w:val="center"/>
          </w:tcPr>
          <w:p>
            <w:pPr>
              <w:jc w:val="center"/>
              <w:rPr>
                <w:rFonts w:hint="eastAsia" w:ascii="黑体" w:eastAsia="黑体"/>
                <w:b/>
                <w:color w:val="auto"/>
              </w:rPr>
            </w:pPr>
          </w:p>
        </w:tc>
        <w:tc>
          <w:tcPr>
            <w:tcW w:w="678" w:type="dxa"/>
            <w:vMerge w:val="continue"/>
            <w:noWrap w:val="0"/>
            <w:vAlign w:val="center"/>
          </w:tcPr>
          <w:p>
            <w:pPr>
              <w:rPr>
                <w:rFonts w:hint="eastAsia" w:ascii="黑体" w:eastAsia="黑体"/>
                <w:b/>
                <w:color w:val="auto"/>
              </w:rPr>
            </w:pPr>
          </w:p>
        </w:tc>
        <w:tc>
          <w:tcPr>
            <w:tcW w:w="915" w:type="dxa"/>
            <w:vMerge w:val="continue"/>
            <w:noWrap w:val="0"/>
            <w:vAlign w:val="center"/>
          </w:tcPr>
          <w:p>
            <w:pPr>
              <w:jc w:val="center"/>
              <w:rPr>
                <w:rFonts w:hint="eastAsia" w:ascii="黑体" w:eastAsia="黑体"/>
                <w:b/>
                <w:color w:val="auto"/>
              </w:rPr>
            </w:pPr>
          </w:p>
        </w:tc>
        <w:tc>
          <w:tcPr>
            <w:tcW w:w="3525" w:type="dxa"/>
            <w:gridSpan w:val="4"/>
            <w:vMerge w:val="continue"/>
            <w:noWrap w:val="0"/>
            <w:vAlign w:val="center"/>
          </w:tcPr>
          <w:p>
            <w:pPr>
              <w:ind w:firstLine="422"/>
              <w:jc w:val="center"/>
              <w:rPr>
                <w:rFonts w:hint="eastAsia" w:ascii="黑体" w:eastAsia="黑体"/>
                <w:b/>
                <w:color w:val="auto"/>
              </w:rPr>
            </w:pPr>
          </w:p>
        </w:tc>
        <w:tc>
          <w:tcPr>
            <w:tcW w:w="1200" w:type="dxa"/>
            <w:noWrap w:val="0"/>
            <w:vAlign w:val="center"/>
          </w:tcPr>
          <w:p>
            <w:pPr>
              <w:jc w:val="center"/>
              <w:rPr>
                <w:rFonts w:hint="eastAsia" w:ascii="黑体" w:eastAsia="黑体"/>
                <w:b/>
                <w:color w:val="auto"/>
              </w:rPr>
            </w:pPr>
            <w:r>
              <w:rPr>
                <w:rFonts w:hint="eastAsia" w:ascii="黑体" w:eastAsia="黑体"/>
                <w:b/>
                <w:color w:val="auto"/>
              </w:rPr>
              <w:t>1.拆机；2.行政处罚；3.对责任企业实施诚信记分</w:t>
            </w:r>
          </w:p>
        </w:tc>
        <w:tc>
          <w:tcPr>
            <w:tcW w:w="1095" w:type="dxa"/>
            <w:noWrap w:val="0"/>
            <w:vAlign w:val="center"/>
          </w:tcPr>
          <w:p>
            <w:pPr>
              <w:rPr>
                <w:rFonts w:hint="eastAsia" w:ascii="黑体" w:eastAsia="黑体"/>
                <w:b/>
                <w:color w:val="auto"/>
              </w:rPr>
            </w:pPr>
            <w:r>
              <w:rPr>
                <w:rFonts w:hint="eastAsia" w:ascii="黑体" w:eastAsia="黑体"/>
                <w:b/>
                <w:color w:val="auto"/>
              </w:rPr>
              <w:t>1.行政处罚；2.限期整改；3.对责任企业实施诚信记分</w:t>
            </w:r>
          </w:p>
        </w:tc>
        <w:tc>
          <w:tcPr>
            <w:tcW w:w="1290" w:type="dxa"/>
            <w:noWrap w:val="0"/>
            <w:vAlign w:val="center"/>
          </w:tcPr>
          <w:p>
            <w:pPr>
              <w:rPr>
                <w:rFonts w:hint="eastAsia" w:ascii="黑体" w:eastAsia="黑体"/>
                <w:b/>
                <w:color w:val="auto"/>
              </w:rPr>
            </w:pPr>
            <w:r>
              <w:rPr>
                <w:rFonts w:hint="eastAsia" w:ascii="黑体" w:eastAsia="黑体"/>
                <w:b/>
                <w:color w:val="auto"/>
              </w:rPr>
              <w:t>1.限期整改；2.对责任企业实施动态记分</w:t>
            </w:r>
          </w:p>
        </w:tc>
        <w:tc>
          <w:tcPr>
            <w:tcW w:w="1014" w:type="dxa"/>
            <w:noWrap w:val="0"/>
            <w:vAlign w:val="center"/>
          </w:tcPr>
          <w:p>
            <w:pPr>
              <w:jc w:val="center"/>
              <w:rPr>
                <w:rFonts w:ascii="黑体" w:eastAsia="黑体"/>
                <w:b/>
                <w:color w:val="auto"/>
              </w:rPr>
            </w:pPr>
            <w:r>
              <w:rPr>
                <w:rFonts w:hint="eastAsia" w:ascii="黑体" w:eastAsia="黑体"/>
                <w:b/>
                <w:color w:val="auto"/>
              </w:rPr>
              <w:t>监护使用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w:t>
            </w:r>
          </w:p>
          <w:p>
            <w:pPr>
              <w:jc w:val="center"/>
              <w:rPr>
                <w:rFonts w:hint="eastAsia" w:ascii="宋体" w:hAnsi="宋体"/>
                <w:color w:val="auto"/>
              </w:rPr>
            </w:pPr>
            <w:r>
              <w:rPr>
                <w:rFonts w:hint="eastAsia" w:ascii="宋体" w:hAnsi="宋体"/>
                <w:color w:val="auto"/>
              </w:rPr>
              <w:t>1</w:t>
            </w:r>
          </w:p>
        </w:tc>
        <w:tc>
          <w:tcPr>
            <w:tcW w:w="678" w:type="dxa"/>
            <w:vMerge w:val="restart"/>
            <w:noWrap w:val="0"/>
            <w:vAlign w:val="center"/>
          </w:tcPr>
          <w:p>
            <w:pPr>
              <w:jc w:val="center"/>
              <w:rPr>
                <w:rFonts w:hint="eastAsia" w:ascii="宋体" w:hAnsi="宋体"/>
                <w:color w:val="auto"/>
              </w:rPr>
            </w:pPr>
            <w:r>
              <w:rPr>
                <w:rFonts w:hint="eastAsia" w:ascii="宋体" w:hAnsi="宋体"/>
                <w:color w:val="auto"/>
              </w:rPr>
              <w:t>1.1</w:t>
            </w:r>
          </w:p>
          <w:p>
            <w:pPr>
              <w:jc w:val="center"/>
              <w:rPr>
                <w:rFonts w:hint="eastAsia" w:ascii="宋体" w:hAnsi="宋体"/>
                <w:color w:val="auto"/>
              </w:rPr>
            </w:pPr>
            <w:r>
              <w:rPr>
                <w:rFonts w:hint="eastAsia" w:ascii="宋体" w:hAnsi="宋体"/>
                <w:color w:val="auto"/>
              </w:rPr>
              <w:t>结构</w:t>
            </w:r>
          </w:p>
        </w:tc>
        <w:tc>
          <w:tcPr>
            <w:tcW w:w="915" w:type="dxa"/>
            <w:noWrap w:val="0"/>
            <w:vAlign w:val="center"/>
          </w:tcPr>
          <w:p>
            <w:pPr>
              <w:jc w:val="center"/>
              <w:rPr>
                <w:rFonts w:hint="eastAsia" w:ascii="宋体" w:hAnsi="宋体"/>
                <w:color w:val="auto"/>
              </w:rPr>
            </w:pPr>
            <w:r>
              <w:rPr>
                <w:rFonts w:hint="eastAsia" w:ascii="宋体" w:hAnsi="宋体"/>
                <w:color w:val="auto"/>
              </w:rPr>
              <w:t>1.1.1</w:t>
            </w:r>
          </w:p>
          <w:p>
            <w:pPr>
              <w:rPr>
                <w:rFonts w:hint="eastAsia" w:ascii="宋体" w:hAnsi="宋体"/>
                <w:color w:val="auto"/>
              </w:rPr>
            </w:pPr>
            <w:r>
              <w:rPr>
                <w:rFonts w:hint="eastAsia" w:ascii="宋体" w:hAnsi="宋体"/>
                <w:color w:val="auto"/>
                <w:spacing w:val="-20"/>
                <w:szCs w:val="21"/>
              </w:rPr>
              <w:t>主要承载</w:t>
            </w:r>
            <w:r>
              <w:rPr>
                <w:rFonts w:hint="eastAsia" w:ascii="宋体" w:hAnsi="宋体"/>
                <w:color w:val="auto"/>
              </w:rPr>
              <w:t>结构件</w:t>
            </w:r>
          </w:p>
        </w:tc>
        <w:tc>
          <w:tcPr>
            <w:tcW w:w="3525" w:type="dxa"/>
            <w:gridSpan w:val="4"/>
            <w:noWrap w:val="0"/>
            <w:vAlign w:val="center"/>
          </w:tcPr>
          <w:p>
            <w:pPr>
              <w:rPr>
                <w:rFonts w:hint="eastAsia" w:ascii="宋体" w:hAnsi="宋体"/>
                <w:color w:val="auto"/>
              </w:rPr>
            </w:pPr>
            <w:r>
              <w:rPr>
                <w:rFonts w:hint="eastAsia" w:ascii="宋体" w:hAnsi="宋体"/>
                <w:color w:val="auto"/>
                <w:szCs w:val="21"/>
              </w:rPr>
              <w:t>塔机主要承载结构件及其焊缝应无可见裂纹，结构件应无整体或局部塑性变形，销孔应无塑性变形。连接件的轴、孔应无严重磨损。结构件母材不应出现严重腐蚀或磨损。</w:t>
            </w:r>
          </w:p>
        </w:tc>
        <w:tc>
          <w:tcPr>
            <w:tcW w:w="1200" w:type="dxa"/>
            <w:noWrap w:val="0"/>
            <w:vAlign w:val="center"/>
          </w:tcPr>
          <w:p>
            <w:pPr>
              <w:jc w:val="center"/>
              <w:rPr>
                <w:rFonts w:ascii="宋体" w:hAnsi="宋体"/>
                <w:color w:val="auto"/>
                <w:szCs w:val="21"/>
              </w:rPr>
            </w:pPr>
            <w:r>
              <w:rPr>
                <w:rFonts w:hint="eastAsia" w:ascii="宋体" w:hAnsi="宋体"/>
                <w:color w:val="auto"/>
                <w:szCs w:val="21"/>
              </w:rPr>
              <w:t>主要结构件严重塑性变形，脱焊、断裂无法修复的</w:t>
            </w:r>
          </w:p>
        </w:tc>
        <w:tc>
          <w:tcPr>
            <w:tcW w:w="1095" w:type="dxa"/>
            <w:noWrap w:val="0"/>
            <w:vAlign w:val="center"/>
          </w:tcPr>
          <w:p>
            <w:pPr>
              <w:jc w:val="center"/>
              <w:rPr>
                <w:rFonts w:ascii="宋体" w:hAnsi="宋体"/>
                <w:color w:val="auto"/>
                <w:szCs w:val="21"/>
              </w:rPr>
            </w:pPr>
            <w:r>
              <w:rPr>
                <w:rFonts w:hint="eastAsia" w:ascii="宋体" w:hAnsi="宋体"/>
                <w:color w:val="auto"/>
                <w:szCs w:val="21"/>
              </w:rPr>
              <w:t>主要结构件变形，可以修复的</w:t>
            </w:r>
          </w:p>
        </w:tc>
        <w:tc>
          <w:tcPr>
            <w:tcW w:w="1290" w:type="dxa"/>
            <w:noWrap w:val="0"/>
            <w:vAlign w:val="center"/>
          </w:tcPr>
          <w:p>
            <w:pPr>
              <w:rPr>
                <w:rFonts w:ascii="宋体" w:hAnsi="宋体"/>
                <w:color w:val="auto"/>
                <w:szCs w:val="21"/>
              </w:rPr>
            </w:pPr>
            <w:r>
              <w:rPr>
                <w:rFonts w:hint="eastAsia" w:ascii="宋体" w:hAnsi="宋体"/>
                <w:color w:val="auto"/>
                <w:szCs w:val="21"/>
              </w:rPr>
              <w:t>大臂拉杆、腹杆等微小塑性变形，或者通过厂家技术鉴定不影响正常使用的</w:t>
            </w:r>
          </w:p>
        </w:tc>
        <w:tc>
          <w:tcPr>
            <w:tcW w:w="1014" w:type="dxa"/>
            <w:noWrap w:val="0"/>
            <w:vAlign w:val="center"/>
          </w:tcPr>
          <w:p>
            <w:pP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2</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1.1.2</w:t>
            </w:r>
          </w:p>
          <w:p>
            <w:pPr>
              <w:jc w:val="center"/>
              <w:rPr>
                <w:rFonts w:hint="eastAsia" w:ascii="宋体" w:hAnsi="宋体"/>
                <w:color w:val="auto"/>
              </w:rPr>
            </w:pPr>
            <w:r>
              <w:rPr>
                <w:rFonts w:hint="eastAsia" w:ascii="宋体" w:hAnsi="宋体"/>
                <w:color w:val="auto"/>
              </w:rPr>
              <w:t>结构件接料</w:t>
            </w:r>
          </w:p>
        </w:tc>
        <w:tc>
          <w:tcPr>
            <w:tcW w:w="3525" w:type="dxa"/>
            <w:gridSpan w:val="4"/>
            <w:noWrap w:val="0"/>
            <w:vAlign w:val="center"/>
          </w:tcPr>
          <w:p>
            <w:pPr>
              <w:rPr>
                <w:rFonts w:hint="eastAsia" w:ascii="宋体" w:hAnsi="宋体"/>
                <w:color w:val="auto"/>
              </w:rPr>
            </w:pPr>
            <w:r>
              <w:rPr>
                <w:rFonts w:hint="eastAsia" w:ascii="宋体" w:hAnsi="宋体"/>
                <w:color w:val="auto"/>
              </w:rPr>
              <w:t>结构件需要接料时，每个杆件的接料处不应多于一处。</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3</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1.1.3</w:t>
            </w:r>
          </w:p>
          <w:p>
            <w:pPr>
              <w:rPr>
                <w:rFonts w:hint="eastAsia" w:ascii="宋体" w:hAnsi="宋体"/>
                <w:color w:val="auto"/>
                <w:spacing w:val="-20"/>
                <w:szCs w:val="21"/>
              </w:rPr>
            </w:pPr>
            <w:r>
              <w:rPr>
                <w:rFonts w:hint="eastAsia" w:ascii="宋体" w:hAnsi="宋体"/>
                <w:color w:val="auto"/>
                <w:spacing w:val="-20"/>
                <w:szCs w:val="21"/>
              </w:rPr>
              <w:t>螺栓固定轴端挡板</w:t>
            </w:r>
          </w:p>
        </w:tc>
        <w:tc>
          <w:tcPr>
            <w:tcW w:w="3525" w:type="dxa"/>
            <w:gridSpan w:val="4"/>
            <w:noWrap w:val="0"/>
            <w:vAlign w:val="center"/>
          </w:tcPr>
          <w:p>
            <w:pPr>
              <w:rPr>
                <w:rFonts w:hint="eastAsia" w:ascii="宋体" w:hAnsi="宋体"/>
                <w:color w:val="auto"/>
              </w:rPr>
            </w:pPr>
            <w:r>
              <w:rPr>
                <w:rFonts w:hint="eastAsia" w:ascii="宋体" w:hAnsi="宋体"/>
                <w:color w:val="auto"/>
                <w:szCs w:val="21"/>
              </w:rPr>
              <w:t>对自升式塔机的小车变幅臂架，其下弦杆连接销轴不应采用螺栓固定轴端挡板的形式。</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right"/>
        </w:trPr>
        <w:tc>
          <w:tcPr>
            <w:tcW w:w="534" w:type="dxa"/>
            <w:noWrap w:val="0"/>
            <w:vAlign w:val="center"/>
          </w:tcPr>
          <w:p>
            <w:pPr>
              <w:jc w:val="center"/>
              <w:rPr>
                <w:rFonts w:hint="eastAsia" w:ascii="宋体" w:hAnsi="宋体"/>
                <w:color w:val="auto"/>
              </w:rPr>
            </w:pPr>
            <w:r>
              <w:rPr>
                <w:rFonts w:hint="eastAsia" w:ascii="宋体" w:hAnsi="宋体"/>
                <w:color w:val="auto"/>
              </w:rPr>
              <w:t>4</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1.1.4</w:t>
            </w:r>
          </w:p>
          <w:p>
            <w:pPr>
              <w:jc w:val="center"/>
              <w:rPr>
                <w:rFonts w:hint="eastAsia" w:ascii="宋体" w:hAnsi="宋体"/>
                <w:color w:val="auto"/>
              </w:rPr>
            </w:pPr>
            <w:r>
              <w:rPr>
                <w:rFonts w:hint="eastAsia" w:ascii="宋体" w:hAnsi="宋体"/>
                <w:color w:val="auto"/>
              </w:rPr>
              <w:t>斜梯</w:t>
            </w:r>
          </w:p>
        </w:tc>
        <w:tc>
          <w:tcPr>
            <w:tcW w:w="3525" w:type="dxa"/>
            <w:gridSpan w:val="4"/>
            <w:noWrap w:val="0"/>
            <w:vAlign w:val="center"/>
          </w:tcPr>
          <w:p>
            <w:pPr>
              <w:rPr>
                <w:rFonts w:hint="eastAsia" w:ascii="宋体" w:hAnsi="宋体"/>
                <w:color w:val="auto"/>
                <w:spacing w:val="-4"/>
              </w:rPr>
            </w:pPr>
            <w:r>
              <w:rPr>
                <w:rFonts w:hint="eastAsia" w:ascii="宋体" w:hAnsi="宋体"/>
                <w:color w:val="auto"/>
                <w:szCs w:val="21"/>
              </w:rPr>
              <w:t>斜梯及扶手应安装固定可靠，其与水平面的角度应≤</w:t>
            </w:r>
            <w:r>
              <w:rPr>
                <w:rFonts w:ascii="宋体" w:hAnsi="宋体"/>
                <w:color w:val="auto"/>
                <w:szCs w:val="21"/>
              </w:rPr>
              <w:t>65</w:t>
            </w:r>
            <w:r>
              <w:rPr>
                <w:rFonts w:hint="eastAsia" w:ascii="宋体" w:hAnsi="宋体"/>
                <w:color w:val="auto"/>
                <w:szCs w:val="21"/>
              </w:rPr>
              <w:t>°，</w:t>
            </w:r>
            <w:r>
              <w:rPr>
                <w:rFonts w:hint="eastAsia" w:ascii="宋体" w:hAnsi="宋体"/>
                <w:color w:val="auto"/>
                <w:spacing w:val="-4"/>
                <w:szCs w:val="21"/>
              </w:rPr>
              <w:t>两边应设置不低于</w:t>
            </w:r>
            <w:r>
              <w:rPr>
                <w:rFonts w:ascii="宋体" w:hAnsi="宋体"/>
                <w:color w:val="auto"/>
                <w:spacing w:val="-4"/>
                <w:szCs w:val="21"/>
              </w:rPr>
              <w:t>1m</w:t>
            </w:r>
            <w:r>
              <w:rPr>
                <w:rFonts w:hint="eastAsia" w:ascii="宋体" w:hAnsi="宋体"/>
                <w:color w:val="auto"/>
                <w:spacing w:val="-4"/>
                <w:szCs w:val="21"/>
              </w:rPr>
              <w:t>高的扶手</w:t>
            </w:r>
            <w:r>
              <w:rPr>
                <w:rFonts w:ascii="宋体" w:hAnsi="宋体"/>
                <w:color w:val="auto"/>
                <w:spacing w:val="-4"/>
                <w:szCs w:val="21"/>
              </w:rPr>
              <w:t>，扶手间宽度应</w:t>
            </w:r>
            <w:r>
              <w:rPr>
                <w:rFonts w:hint="eastAsia" w:ascii="宋体" w:hAnsi="宋体"/>
                <w:color w:val="auto"/>
                <w:spacing w:val="-4"/>
                <w:szCs w:val="21"/>
              </w:rPr>
              <w:t>≥</w:t>
            </w:r>
            <w:r>
              <w:rPr>
                <w:rFonts w:ascii="宋体" w:hAnsi="宋体"/>
                <w:color w:val="auto"/>
                <w:spacing w:val="-4"/>
                <w:szCs w:val="21"/>
              </w:rPr>
              <w:t>600mm</w:t>
            </w:r>
            <w:r>
              <w:rPr>
                <w:rFonts w:hint="eastAsia" w:ascii="宋体" w:hAnsi="宋体"/>
                <w:color w:val="auto"/>
                <w:spacing w:val="-4"/>
                <w:szCs w:val="21"/>
              </w:rPr>
              <w:t>；</w:t>
            </w:r>
            <w:r>
              <w:rPr>
                <w:rFonts w:ascii="宋体" w:hAnsi="宋体"/>
                <w:color w:val="auto"/>
                <w:spacing w:val="-4"/>
                <w:szCs w:val="21"/>
              </w:rPr>
              <w:t>斜梯踏板应</w:t>
            </w:r>
            <w:r>
              <w:rPr>
                <w:rFonts w:hint="eastAsia" w:ascii="宋体" w:hAnsi="宋体"/>
                <w:color w:val="auto"/>
                <w:spacing w:val="-4"/>
                <w:szCs w:val="21"/>
              </w:rPr>
              <w:t>采用具有</w:t>
            </w:r>
            <w:r>
              <w:rPr>
                <w:rFonts w:ascii="宋体" w:hAnsi="宋体"/>
                <w:color w:val="auto"/>
                <w:spacing w:val="-4"/>
                <w:szCs w:val="21"/>
              </w:rPr>
              <w:t>防滑</w:t>
            </w:r>
            <w:r>
              <w:rPr>
                <w:rFonts w:hint="eastAsia" w:ascii="宋体" w:hAnsi="宋体"/>
                <w:color w:val="auto"/>
                <w:spacing w:val="-4"/>
                <w:szCs w:val="21"/>
              </w:rPr>
              <w:t>性能的金属材料制作</w:t>
            </w:r>
            <w:r>
              <w:rPr>
                <w:rFonts w:ascii="宋体" w:hAnsi="宋体"/>
                <w:color w:val="auto"/>
                <w:spacing w:val="-4"/>
                <w:szCs w:val="21"/>
              </w:rPr>
              <w:t>，踏板横向宽度应</w:t>
            </w:r>
            <w:r>
              <w:rPr>
                <w:rFonts w:hint="eastAsia" w:ascii="宋体" w:hAnsi="宋体"/>
                <w:color w:val="auto"/>
                <w:spacing w:val="-4"/>
                <w:szCs w:val="21"/>
              </w:rPr>
              <w:t>≥</w:t>
            </w:r>
            <w:r>
              <w:rPr>
                <w:rFonts w:ascii="宋体" w:hAnsi="宋体"/>
                <w:color w:val="auto"/>
                <w:spacing w:val="-4"/>
                <w:szCs w:val="21"/>
              </w:rPr>
              <w:t>300mm</w:t>
            </w:r>
            <w:r>
              <w:rPr>
                <w:rFonts w:hint="eastAsia" w:ascii="宋体" w:hAnsi="宋体"/>
                <w:color w:val="auto"/>
                <w:spacing w:val="-4"/>
                <w:szCs w:val="21"/>
              </w:rPr>
              <w:t>；</w:t>
            </w:r>
            <w:r>
              <w:rPr>
                <w:rFonts w:ascii="宋体" w:hAnsi="宋体"/>
                <w:color w:val="auto"/>
                <w:spacing w:val="-4"/>
                <w:szCs w:val="21"/>
              </w:rPr>
              <w:t>梯级间隔应</w:t>
            </w:r>
            <w:r>
              <w:rPr>
                <w:rFonts w:hint="eastAsia" w:ascii="宋体" w:hAnsi="宋体"/>
                <w:color w:val="auto"/>
                <w:spacing w:val="-4"/>
                <w:szCs w:val="21"/>
              </w:rPr>
              <w:t>≤</w:t>
            </w:r>
            <w:r>
              <w:rPr>
                <w:rFonts w:ascii="宋体" w:hAnsi="宋体"/>
                <w:color w:val="auto"/>
                <w:spacing w:val="-4"/>
                <w:szCs w:val="21"/>
              </w:rPr>
              <w:t>300mm</w:t>
            </w:r>
            <w:r>
              <w:rPr>
                <w:rFonts w:hint="eastAsia" w:ascii="宋体" w:hAnsi="宋体"/>
                <w:color w:val="auto"/>
                <w:spacing w:val="-4"/>
                <w:szCs w:val="21"/>
              </w:rPr>
              <w:t>。</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5</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1.1.5</w:t>
            </w:r>
          </w:p>
          <w:p>
            <w:pPr>
              <w:jc w:val="center"/>
              <w:rPr>
                <w:rFonts w:hint="eastAsia" w:ascii="宋体" w:hAnsi="宋体"/>
                <w:color w:val="auto"/>
              </w:rPr>
            </w:pPr>
            <w:r>
              <w:rPr>
                <w:rFonts w:hint="eastAsia" w:ascii="宋体" w:hAnsi="宋体"/>
                <w:color w:val="auto"/>
              </w:rPr>
              <w:t>直梯</w:t>
            </w:r>
          </w:p>
        </w:tc>
        <w:tc>
          <w:tcPr>
            <w:tcW w:w="3525" w:type="dxa"/>
            <w:gridSpan w:val="4"/>
            <w:noWrap w:val="0"/>
            <w:vAlign w:val="center"/>
          </w:tcPr>
          <w:p>
            <w:pPr>
              <w:rPr>
                <w:rFonts w:hint="eastAsia" w:ascii="宋体" w:hAnsi="宋体"/>
                <w:color w:val="auto"/>
              </w:rPr>
            </w:pPr>
            <w:r>
              <w:rPr>
                <w:rFonts w:hint="eastAsia" w:ascii="宋体" w:hAnsi="宋体"/>
                <w:color w:val="auto"/>
                <w:szCs w:val="21"/>
              </w:rPr>
              <w:t>直梯应固定可靠，其与水平面的角度为</w:t>
            </w:r>
            <w:r>
              <w:rPr>
                <w:rFonts w:ascii="宋体" w:hAnsi="宋体"/>
                <w:color w:val="auto"/>
                <w:szCs w:val="21"/>
              </w:rPr>
              <w:t>75</w:t>
            </w:r>
            <w:r>
              <w:rPr>
                <w:rFonts w:hint="eastAsia" w:ascii="宋体" w:hAnsi="宋体"/>
                <w:color w:val="auto"/>
                <w:szCs w:val="21"/>
              </w:rPr>
              <w:t>°～</w:t>
            </w:r>
            <w:r>
              <w:rPr>
                <w:rFonts w:ascii="宋体" w:hAnsi="宋体"/>
                <w:color w:val="auto"/>
                <w:szCs w:val="21"/>
              </w:rPr>
              <w:t>90</w:t>
            </w:r>
            <w:r>
              <w:rPr>
                <w:rFonts w:hint="eastAsia" w:ascii="宋体" w:hAnsi="宋体"/>
                <w:color w:val="auto"/>
                <w:szCs w:val="21"/>
              </w:rPr>
              <w:t>°；直梯两边梁之间的宽度应≥</w:t>
            </w:r>
            <w:r>
              <w:rPr>
                <w:rFonts w:ascii="宋体" w:hAnsi="宋体"/>
                <w:color w:val="auto"/>
                <w:szCs w:val="21"/>
              </w:rPr>
              <w:t>300mm；</w:t>
            </w:r>
            <w:r>
              <w:rPr>
                <w:rFonts w:hint="eastAsia" w:ascii="宋体" w:hAnsi="宋体"/>
                <w:color w:val="auto"/>
                <w:szCs w:val="21"/>
              </w:rPr>
              <w:t>踏杆</w:t>
            </w:r>
            <w:r>
              <w:rPr>
                <w:rFonts w:ascii="宋体" w:hAnsi="宋体"/>
                <w:color w:val="auto"/>
                <w:szCs w:val="21"/>
              </w:rPr>
              <w:t>间隔为250</w:t>
            </w:r>
            <w:r>
              <w:rPr>
                <w:rFonts w:hint="eastAsia" w:ascii="宋体" w:hAnsi="宋体"/>
                <w:color w:val="auto"/>
                <w:szCs w:val="21"/>
              </w:rPr>
              <w:t>～</w:t>
            </w:r>
            <w:r>
              <w:rPr>
                <w:rFonts w:ascii="宋体" w:hAnsi="宋体"/>
                <w:color w:val="auto"/>
                <w:szCs w:val="21"/>
              </w:rPr>
              <w:t>300mm</w:t>
            </w:r>
            <w:r>
              <w:rPr>
                <w:rFonts w:hint="eastAsia" w:ascii="宋体" w:hAnsi="宋体"/>
                <w:color w:val="auto"/>
                <w:szCs w:val="21"/>
              </w:rPr>
              <w:t>；踏杆与后面结构件间的自由空间(踏脚间隙)应≥</w:t>
            </w:r>
            <w:r>
              <w:rPr>
                <w:rFonts w:ascii="宋体" w:hAnsi="宋体"/>
                <w:color w:val="auto"/>
                <w:szCs w:val="21"/>
              </w:rPr>
              <w:t>160mm；踏杆直径应</w:t>
            </w:r>
            <w:r>
              <w:rPr>
                <w:rFonts w:hint="eastAsia" w:ascii="宋体" w:hAnsi="宋体"/>
                <w:color w:val="auto"/>
                <w:szCs w:val="21"/>
              </w:rPr>
              <w:t>不小于</w:t>
            </w:r>
            <w:r>
              <w:rPr>
                <w:rFonts w:ascii="宋体" w:hAnsi="宋体"/>
                <w:color w:val="auto"/>
                <w:szCs w:val="21"/>
              </w:rPr>
              <w:t>16mm</w:t>
            </w:r>
            <w:r>
              <w:rPr>
                <w:rFonts w:hint="eastAsia" w:ascii="宋体" w:hAnsi="宋体"/>
                <w:color w:val="auto"/>
                <w:szCs w:val="21"/>
              </w:rPr>
              <w:t>，且不大于40mm。</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restart"/>
            <w:noWrap w:val="0"/>
            <w:vAlign w:val="center"/>
          </w:tcPr>
          <w:p>
            <w:pPr>
              <w:jc w:val="center"/>
              <w:rPr>
                <w:rFonts w:hint="eastAsia" w:ascii="宋体" w:hAnsi="宋体"/>
                <w:color w:val="auto"/>
              </w:rPr>
            </w:pPr>
            <w:r>
              <w:rPr>
                <w:rFonts w:hint="eastAsia" w:ascii="宋体" w:hAnsi="宋体"/>
                <w:color w:val="auto"/>
              </w:rPr>
              <w:t>6</w:t>
            </w:r>
          </w:p>
        </w:tc>
        <w:tc>
          <w:tcPr>
            <w:tcW w:w="678" w:type="dxa"/>
            <w:vMerge w:val="continue"/>
            <w:noWrap w:val="0"/>
            <w:vAlign w:val="center"/>
          </w:tcPr>
          <w:p>
            <w:pPr>
              <w:jc w:val="center"/>
              <w:rPr>
                <w:rFonts w:hint="eastAsia" w:ascii="宋体" w:hAnsi="宋体"/>
                <w:color w:val="auto"/>
              </w:rPr>
            </w:pPr>
          </w:p>
        </w:tc>
        <w:tc>
          <w:tcPr>
            <w:tcW w:w="915" w:type="dxa"/>
            <w:vMerge w:val="restart"/>
            <w:noWrap w:val="0"/>
            <w:vAlign w:val="center"/>
          </w:tcPr>
          <w:p>
            <w:pPr>
              <w:jc w:val="center"/>
              <w:rPr>
                <w:rFonts w:hint="eastAsia" w:ascii="宋体" w:hAnsi="宋体"/>
                <w:color w:val="auto"/>
              </w:rPr>
            </w:pPr>
            <w:r>
              <w:rPr>
                <w:rFonts w:hint="eastAsia" w:ascii="宋体" w:hAnsi="宋体"/>
                <w:color w:val="auto"/>
              </w:rPr>
              <w:t>1.1.6</w:t>
            </w:r>
          </w:p>
          <w:p>
            <w:pPr>
              <w:jc w:val="center"/>
              <w:rPr>
                <w:rFonts w:hint="eastAsia" w:ascii="宋体" w:hAnsi="宋体"/>
                <w:color w:val="auto"/>
              </w:rPr>
            </w:pPr>
            <w:r>
              <w:rPr>
                <w:rFonts w:hint="eastAsia" w:ascii="宋体" w:hAnsi="宋体"/>
                <w:color w:val="auto"/>
              </w:rPr>
              <w:t>护圈</w:t>
            </w:r>
          </w:p>
        </w:tc>
        <w:tc>
          <w:tcPr>
            <w:tcW w:w="3525" w:type="dxa"/>
            <w:gridSpan w:val="4"/>
            <w:noWrap w:val="0"/>
            <w:vAlign w:val="center"/>
          </w:tcPr>
          <w:p>
            <w:pPr>
              <w:rPr>
                <w:rFonts w:hint="eastAsia" w:ascii="宋体" w:hAnsi="宋体"/>
                <w:color w:val="auto"/>
              </w:rPr>
            </w:pPr>
            <w:r>
              <w:rPr>
                <w:rFonts w:hint="eastAsia" w:ascii="宋体" w:hAnsi="宋体"/>
                <w:color w:val="auto"/>
                <w:szCs w:val="21"/>
              </w:rPr>
              <w:t>高于地面</w:t>
            </w:r>
            <w:r>
              <w:rPr>
                <w:rFonts w:ascii="宋体" w:hAnsi="宋体"/>
                <w:color w:val="auto"/>
                <w:szCs w:val="21"/>
              </w:rPr>
              <w:t>2m</w:t>
            </w:r>
            <w:r>
              <w:rPr>
                <w:rFonts w:hint="eastAsia" w:ascii="宋体" w:hAnsi="宋体"/>
                <w:color w:val="auto"/>
                <w:szCs w:val="21"/>
              </w:rPr>
              <w:t>以上的直梯应设置护圈，护圈应固定可靠。护圈直径为60</w:t>
            </w:r>
            <w:r>
              <w:rPr>
                <w:rFonts w:ascii="宋体" w:hAnsi="宋体"/>
                <w:color w:val="auto"/>
                <w:szCs w:val="21"/>
              </w:rPr>
              <w:t>0</w:t>
            </w:r>
            <w:r>
              <w:rPr>
                <w:rFonts w:hint="eastAsia" w:ascii="宋体" w:hAnsi="宋体"/>
                <w:color w:val="auto"/>
                <w:szCs w:val="21"/>
              </w:rPr>
              <w:t>～800</w:t>
            </w:r>
            <w:r>
              <w:rPr>
                <w:rFonts w:ascii="宋体" w:hAnsi="宋体"/>
                <w:color w:val="auto"/>
                <w:szCs w:val="21"/>
              </w:rPr>
              <w:t>mm</w:t>
            </w:r>
            <w:r>
              <w:rPr>
                <w:rFonts w:hint="eastAsia" w:ascii="宋体" w:hAnsi="宋体"/>
                <w:color w:val="auto"/>
                <w:szCs w:val="21"/>
              </w:rPr>
              <w:t>，侧面应用3条或5条竖向板条连接。当侧面有3条板条时，</w:t>
            </w:r>
            <w:r>
              <w:rPr>
                <w:rFonts w:ascii="宋体" w:hAnsi="宋体"/>
                <w:color w:val="auto"/>
                <w:szCs w:val="21"/>
              </w:rPr>
              <w:t>间距应</w:t>
            </w:r>
            <w:r>
              <w:rPr>
                <w:rFonts w:hint="eastAsia" w:ascii="宋体" w:hAnsi="宋体"/>
                <w:color w:val="auto"/>
                <w:szCs w:val="21"/>
              </w:rPr>
              <w:t>≤90</w:t>
            </w:r>
            <w:r>
              <w:rPr>
                <w:rFonts w:ascii="宋体" w:hAnsi="宋体"/>
                <w:color w:val="auto"/>
                <w:szCs w:val="21"/>
              </w:rPr>
              <w:t>0mm</w:t>
            </w:r>
            <w:r>
              <w:rPr>
                <w:rFonts w:hint="eastAsia" w:ascii="宋体" w:hAnsi="宋体"/>
                <w:color w:val="auto"/>
                <w:szCs w:val="21"/>
              </w:rPr>
              <w:t>；当侧面有5条板条时，</w:t>
            </w:r>
            <w:r>
              <w:rPr>
                <w:rFonts w:ascii="宋体" w:hAnsi="宋体"/>
                <w:color w:val="auto"/>
                <w:szCs w:val="21"/>
              </w:rPr>
              <w:t>间距应</w:t>
            </w:r>
            <w:r>
              <w:rPr>
                <w:rFonts w:hint="eastAsia" w:ascii="宋体" w:hAnsi="宋体"/>
                <w:color w:val="auto"/>
                <w:szCs w:val="21"/>
              </w:rPr>
              <w:t>≤150</w:t>
            </w:r>
            <w:r>
              <w:rPr>
                <w:rFonts w:ascii="宋体" w:hAnsi="宋体"/>
                <w:color w:val="auto"/>
                <w:szCs w:val="21"/>
              </w:rPr>
              <w:t>0mm</w:t>
            </w:r>
            <w:r>
              <w:rPr>
                <w:rFonts w:hint="eastAsia" w:ascii="宋体" w:hAnsi="宋体"/>
                <w:color w:val="auto"/>
                <w:szCs w:val="21"/>
              </w:rPr>
              <w:t>。</w:t>
            </w:r>
          </w:p>
        </w:tc>
        <w:tc>
          <w:tcPr>
            <w:tcW w:w="1200" w:type="dxa"/>
            <w:noWrap w:val="0"/>
            <w:vAlign w:val="center"/>
          </w:tcPr>
          <w:p>
            <w:pPr>
              <w:jc w:val="center"/>
              <w:rPr>
                <w:rFonts w:hint="eastAsia" w:ascii="宋体" w:hAnsi="宋体"/>
                <w:color w:val="auto"/>
                <w:szCs w:val="21"/>
              </w:rPr>
            </w:pPr>
          </w:p>
        </w:tc>
        <w:tc>
          <w:tcPr>
            <w:tcW w:w="1095" w:type="dxa"/>
            <w:vMerge w:val="restart"/>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spacing w:line="260" w:lineRule="exact"/>
              <w:rPr>
                <w:rFonts w:hint="eastAsia" w:ascii="宋体" w:hAnsi="宋体"/>
                <w:color w:val="auto"/>
                <w:spacing w:val="-2"/>
                <w:szCs w:val="21"/>
              </w:rPr>
            </w:pPr>
            <w:r>
              <w:rPr>
                <w:rFonts w:hint="eastAsia" w:ascii="宋体" w:hAnsi="宋体"/>
                <w:color w:val="auto"/>
                <w:spacing w:val="-2"/>
                <w:szCs w:val="21"/>
              </w:rPr>
              <w:t>当梯子设于塔身内部</w:t>
            </w:r>
            <w:r>
              <w:rPr>
                <w:rFonts w:ascii="宋体" w:hAnsi="宋体"/>
                <w:color w:val="auto"/>
                <w:spacing w:val="-2"/>
                <w:szCs w:val="21"/>
              </w:rPr>
              <w:t>,</w:t>
            </w:r>
            <w:r>
              <w:rPr>
                <w:rFonts w:hint="eastAsia" w:ascii="宋体" w:hAnsi="宋体"/>
                <w:color w:val="auto"/>
                <w:spacing w:val="-2"/>
                <w:szCs w:val="21"/>
              </w:rPr>
              <w:t>塔身结构满足以下条件，且侧面结构不允许直径为600mm的球体穿过时，可不设护圈：</w:t>
            </w:r>
          </w:p>
          <w:p>
            <w:pPr>
              <w:spacing w:line="260" w:lineRule="exact"/>
              <w:rPr>
                <w:rFonts w:hint="eastAsia" w:ascii="宋体" w:hAnsi="宋体"/>
                <w:color w:val="auto"/>
              </w:rPr>
            </w:pPr>
            <w:r>
              <w:rPr>
                <w:rFonts w:hint="eastAsia" w:ascii="宋体" w:hAnsi="宋体"/>
                <w:color w:val="auto"/>
                <w:szCs w:val="21"/>
              </w:rPr>
              <w:t>(1)正方形塔身边长≤750mm；(2)等边三角形塔身边长≤1100mm；(3)直角等腰三角形塔身边长≤1100mm；或梯子沿塔身对角线方向布置，边长≤1100mm；(4)筒状塔身直径≤1000mm；(5)快装式塔机。</w:t>
            </w:r>
          </w:p>
        </w:tc>
        <w:tc>
          <w:tcPr>
            <w:tcW w:w="1200" w:type="dxa"/>
            <w:noWrap w:val="0"/>
            <w:vAlign w:val="center"/>
          </w:tcPr>
          <w:p>
            <w:pPr>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right"/>
        </w:trPr>
        <w:tc>
          <w:tcPr>
            <w:tcW w:w="534" w:type="dxa"/>
            <w:noWrap w:val="0"/>
            <w:vAlign w:val="center"/>
          </w:tcPr>
          <w:p>
            <w:pPr>
              <w:jc w:val="center"/>
              <w:rPr>
                <w:rFonts w:hint="eastAsia" w:ascii="宋体" w:hAnsi="宋体"/>
                <w:color w:val="auto"/>
              </w:rPr>
            </w:pPr>
            <w:r>
              <w:rPr>
                <w:rFonts w:hint="eastAsia" w:ascii="宋体" w:hAnsi="宋体"/>
                <w:color w:val="auto"/>
              </w:rPr>
              <w:t>7</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1.1.7</w:t>
            </w:r>
          </w:p>
          <w:p>
            <w:pPr>
              <w:jc w:val="center"/>
              <w:rPr>
                <w:rFonts w:hint="eastAsia" w:ascii="宋体" w:hAnsi="宋体"/>
                <w:color w:val="auto"/>
              </w:rPr>
            </w:pPr>
            <w:r>
              <w:rPr>
                <w:rFonts w:hint="eastAsia" w:ascii="宋体" w:hAnsi="宋体"/>
                <w:color w:val="auto"/>
              </w:rPr>
              <w:t>休息小平台</w:t>
            </w:r>
          </w:p>
        </w:tc>
        <w:tc>
          <w:tcPr>
            <w:tcW w:w="3525" w:type="dxa"/>
            <w:gridSpan w:val="4"/>
            <w:noWrap w:val="0"/>
            <w:vAlign w:val="center"/>
          </w:tcPr>
          <w:p>
            <w:pPr>
              <w:rPr>
                <w:rFonts w:hint="eastAsia" w:ascii="宋体" w:hAnsi="宋体"/>
                <w:color w:val="auto"/>
              </w:rPr>
            </w:pPr>
            <w:r>
              <w:rPr>
                <w:rFonts w:hint="eastAsia" w:ascii="宋体" w:hAnsi="宋体"/>
                <w:color w:val="auto"/>
              </w:rPr>
              <w:t>除快装式塔机外，当梯子高度超过</w:t>
            </w:r>
            <w:r>
              <w:rPr>
                <w:rFonts w:ascii="宋体" w:hAnsi="宋体"/>
                <w:color w:val="auto"/>
              </w:rPr>
              <w:t>10m</w:t>
            </w:r>
            <w:r>
              <w:rPr>
                <w:rFonts w:hint="eastAsia" w:ascii="宋体" w:hAnsi="宋体"/>
                <w:color w:val="auto"/>
              </w:rPr>
              <w:t>时应设置休息小平台，梯子的第一个休息小平台应设在不超过12.5</w:t>
            </w:r>
            <w:r>
              <w:rPr>
                <w:rFonts w:ascii="宋体" w:hAnsi="宋体"/>
                <w:color w:val="auto"/>
              </w:rPr>
              <w:t>m</w:t>
            </w:r>
            <w:r>
              <w:rPr>
                <w:rFonts w:hint="eastAsia" w:ascii="宋体" w:hAnsi="宋体"/>
                <w:color w:val="auto"/>
              </w:rPr>
              <w:t>的高度处，以后每隔10</w:t>
            </w:r>
            <w:r>
              <w:rPr>
                <w:rFonts w:ascii="宋体" w:hAnsi="宋体"/>
                <w:color w:val="auto"/>
              </w:rPr>
              <w:t>m</w:t>
            </w:r>
            <w:r>
              <w:rPr>
                <w:rFonts w:hint="eastAsia" w:ascii="宋体" w:hAnsi="宋体"/>
                <w:color w:val="auto"/>
              </w:rPr>
              <w:t>内设置一个。</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restart"/>
            <w:noWrap w:val="0"/>
            <w:vAlign w:val="center"/>
          </w:tcPr>
          <w:p>
            <w:pPr>
              <w:jc w:val="center"/>
              <w:rPr>
                <w:rFonts w:hint="eastAsia" w:ascii="宋体" w:hAnsi="宋体"/>
                <w:color w:val="auto"/>
              </w:rPr>
            </w:pPr>
            <w:r>
              <w:rPr>
                <w:rFonts w:hint="eastAsia" w:ascii="宋体" w:hAnsi="宋体"/>
                <w:color w:val="auto"/>
              </w:rPr>
              <w:t>8</w:t>
            </w:r>
          </w:p>
        </w:tc>
        <w:tc>
          <w:tcPr>
            <w:tcW w:w="678" w:type="dxa"/>
            <w:vMerge w:val="continue"/>
            <w:noWrap w:val="0"/>
            <w:vAlign w:val="center"/>
          </w:tcPr>
          <w:p>
            <w:pPr>
              <w:jc w:val="center"/>
              <w:rPr>
                <w:rFonts w:hint="eastAsia" w:ascii="宋体" w:hAnsi="宋体"/>
                <w:color w:val="auto"/>
              </w:rPr>
            </w:pPr>
          </w:p>
        </w:tc>
        <w:tc>
          <w:tcPr>
            <w:tcW w:w="915" w:type="dxa"/>
            <w:vMerge w:val="restart"/>
            <w:noWrap w:val="0"/>
            <w:vAlign w:val="center"/>
          </w:tcPr>
          <w:p>
            <w:pPr>
              <w:jc w:val="center"/>
              <w:rPr>
                <w:rFonts w:hint="eastAsia" w:ascii="宋体" w:hAnsi="宋体"/>
                <w:color w:val="auto"/>
              </w:rPr>
            </w:pPr>
            <w:r>
              <w:rPr>
                <w:rFonts w:hint="eastAsia" w:ascii="宋体" w:hAnsi="宋体"/>
                <w:color w:val="auto"/>
              </w:rPr>
              <w:t>1.1.8</w:t>
            </w:r>
          </w:p>
          <w:p>
            <w:pPr>
              <w:jc w:val="center"/>
              <w:rPr>
                <w:rFonts w:hint="eastAsia" w:ascii="宋体" w:hAnsi="宋体"/>
                <w:color w:val="auto"/>
              </w:rPr>
            </w:pPr>
            <w:r>
              <w:rPr>
                <w:rFonts w:hint="eastAsia" w:ascii="宋体" w:hAnsi="宋体"/>
                <w:color w:val="auto"/>
              </w:rPr>
              <w:t>平台、走道</w:t>
            </w:r>
          </w:p>
        </w:tc>
        <w:tc>
          <w:tcPr>
            <w:tcW w:w="3525" w:type="dxa"/>
            <w:gridSpan w:val="4"/>
            <w:noWrap w:val="0"/>
            <w:vAlign w:val="center"/>
          </w:tcPr>
          <w:p>
            <w:pPr>
              <w:rPr>
                <w:rFonts w:hint="eastAsia" w:ascii="宋体" w:hAnsi="宋体"/>
                <w:color w:val="auto"/>
              </w:rPr>
            </w:pPr>
            <w:r>
              <w:rPr>
                <w:rFonts w:hint="eastAsia" w:ascii="宋体" w:hAnsi="宋体"/>
                <w:color w:val="auto"/>
              </w:rPr>
              <w:t>在操作、维修处应设置平台、走道、踢脚板和栏杆。</w:t>
            </w:r>
          </w:p>
          <w:p>
            <w:pPr>
              <w:rPr>
                <w:rFonts w:hint="eastAsia" w:ascii="宋体" w:hAnsi="宋体"/>
                <w:color w:val="auto"/>
              </w:rPr>
            </w:pPr>
            <w:r>
              <w:rPr>
                <w:rFonts w:hint="eastAsia" w:ascii="宋体" w:hAnsi="宋体"/>
                <w:color w:val="auto"/>
              </w:rPr>
              <w:t>平台和走道不应有永久变形。离地面</w:t>
            </w:r>
            <w:r>
              <w:rPr>
                <w:rFonts w:ascii="宋体" w:hAnsi="宋体"/>
                <w:color w:val="auto"/>
              </w:rPr>
              <w:t>2m</w:t>
            </w:r>
            <w:r>
              <w:rPr>
                <w:rFonts w:hint="eastAsia" w:ascii="宋体" w:hAnsi="宋体"/>
                <w:color w:val="auto"/>
              </w:rPr>
              <w:t>以上的平台和走道应用金属材料制作，并具有防滑性能。平台和走道宽度不应小于</w:t>
            </w:r>
            <w:r>
              <w:rPr>
                <w:rFonts w:ascii="宋体" w:hAnsi="宋体"/>
                <w:color w:val="auto"/>
              </w:rPr>
              <w:t>500mm</w:t>
            </w:r>
            <w:r>
              <w:rPr>
                <w:rFonts w:hint="eastAsia" w:ascii="宋体" w:hAnsi="宋体"/>
                <w:color w:val="auto"/>
              </w:rPr>
              <w:t>。</w:t>
            </w:r>
          </w:p>
        </w:tc>
        <w:tc>
          <w:tcPr>
            <w:tcW w:w="1200" w:type="dxa"/>
            <w:noWrap w:val="0"/>
            <w:vAlign w:val="center"/>
          </w:tcPr>
          <w:p>
            <w:pPr>
              <w:jc w:val="center"/>
              <w:rPr>
                <w:rFonts w:hint="eastAsia" w:ascii="宋体" w:hAnsi="宋体"/>
                <w:color w:val="auto"/>
              </w:rPr>
            </w:pPr>
          </w:p>
        </w:tc>
        <w:tc>
          <w:tcPr>
            <w:tcW w:w="1095" w:type="dxa"/>
            <w:vMerge w:val="restart"/>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rPr>
            </w:pPr>
            <w:r>
              <w:rPr>
                <w:rFonts w:hint="eastAsia" w:ascii="宋体" w:hAnsi="宋体"/>
                <w:color w:val="auto"/>
              </w:rPr>
              <w:t>离地面</w:t>
            </w:r>
            <w:r>
              <w:rPr>
                <w:rFonts w:ascii="宋体" w:hAnsi="宋体"/>
                <w:color w:val="auto"/>
              </w:rPr>
              <w:t>2m</w:t>
            </w:r>
            <w:r>
              <w:rPr>
                <w:rFonts w:hint="eastAsia" w:ascii="宋体" w:hAnsi="宋体"/>
                <w:color w:val="auto"/>
              </w:rPr>
              <w:t>以上的平台及走道应设置防止操作人员跌落的手扶栏杆，其高度不应低于1000mm，在栏杆一半高度处应设置中间手扶横杆。</w:t>
            </w:r>
          </w:p>
        </w:tc>
        <w:tc>
          <w:tcPr>
            <w:tcW w:w="1200" w:type="dxa"/>
            <w:noWrap w:val="0"/>
            <w:vAlign w:val="center"/>
          </w:tcPr>
          <w:p>
            <w:pPr>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rPr>
            </w:pPr>
            <w:r>
              <w:rPr>
                <w:rFonts w:ascii="宋体" w:hAnsi="宋体"/>
                <w:color w:val="auto"/>
              </w:rPr>
              <w:t>平台和走</w:t>
            </w:r>
            <w:r>
              <w:rPr>
                <w:rFonts w:hint="eastAsia" w:ascii="宋体" w:hAnsi="宋体"/>
                <w:color w:val="auto"/>
              </w:rPr>
              <w:t>道</w:t>
            </w:r>
            <w:r>
              <w:rPr>
                <w:rFonts w:ascii="宋体" w:hAnsi="宋体"/>
                <w:color w:val="auto"/>
              </w:rPr>
              <w:t>边缘应设置高度</w:t>
            </w:r>
            <w:r>
              <w:rPr>
                <w:rFonts w:hint="eastAsia" w:ascii="宋体" w:hAnsi="宋体"/>
                <w:color w:val="auto"/>
              </w:rPr>
              <w:t>不小于</w:t>
            </w:r>
            <w:r>
              <w:rPr>
                <w:rFonts w:ascii="宋体" w:hAnsi="宋体"/>
                <w:color w:val="auto"/>
              </w:rPr>
              <w:t>1</w:t>
            </w:r>
            <w:r>
              <w:rPr>
                <w:rFonts w:hint="eastAsia" w:ascii="宋体" w:hAnsi="宋体"/>
                <w:color w:val="auto"/>
              </w:rPr>
              <w:t>0</w:t>
            </w:r>
            <w:r>
              <w:rPr>
                <w:rFonts w:ascii="宋体" w:hAnsi="宋体"/>
                <w:color w:val="auto"/>
              </w:rPr>
              <w:t>0mm的</w:t>
            </w:r>
            <w:r>
              <w:rPr>
                <w:rFonts w:hint="eastAsia" w:ascii="宋体" w:hAnsi="宋体"/>
                <w:color w:val="auto"/>
              </w:rPr>
              <w:t>踢脚板。</w:t>
            </w:r>
          </w:p>
        </w:tc>
        <w:tc>
          <w:tcPr>
            <w:tcW w:w="1200" w:type="dxa"/>
            <w:noWrap w:val="0"/>
            <w:vAlign w:val="center"/>
          </w:tcPr>
          <w:p>
            <w:pPr>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noWrap w:val="0"/>
            <w:vAlign w:val="center"/>
          </w:tcPr>
          <w:p>
            <w:pPr>
              <w:jc w:val="center"/>
              <w:rPr>
                <w:rFonts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9</w:t>
            </w:r>
          </w:p>
        </w:tc>
        <w:tc>
          <w:tcPr>
            <w:tcW w:w="678" w:type="dxa"/>
            <w:noWrap w:val="0"/>
            <w:vAlign w:val="center"/>
          </w:tcPr>
          <w:p>
            <w:pPr>
              <w:jc w:val="center"/>
              <w:rPr>
                <w:rFonts w:hint="eastAsia" w:ascii="宋体" w:hAnsi="宋体"/>
                <w:color w:val="auto"/>
              </w:rPr>
            </w:pPr>
            <w:r>
              <w:rPr>
                <w:rFonts w:hint="eastAsia" w:ascii="宋体" w:hAnsi="宋体"/>
                <w:color w:val="auto"/>
              </w:rPr>
              <w:t>1.1</w:t>
            </w:r>
          </w:p>
          <w:p>
            <w:pPr>
              <w:jc w:val="center"/>
              <w:rPr>
                <w:rFonts w:hint="eastAsia" w:ascii="宋体" w:hAnsi="宋体"/>
                <w:color w:val="auto"/>
              </w:rPr>
            </w:pPr>
            <w:r>
              <w:rPr>
                <w:rFonts w:hint="eastAsia" w:ascii="宋体" w:hAnsi="宋体"/>
                <w:color w:val="auto"/>
              </w:rPr>
              <w:t>结构</w:t>
            </w:r>
          </w:p>
        </w:tc>
        <w:tc>
          <w:tcPr>
            <w:tcW w:w="915" w:type="dxa"/>
            <w:noWrap w:val="0"/>
            <w:vAlign w:val="center"/>
          </w:tcPr>
          <w:p>
            <w:pPr>
              <w:jc w:val="center"/>
              <w:rPr>
                <w:rFonts w:hint="eastAsia" w:ascii="宋体" w:hAnsi="宋体"/>
                <w:color w:val="auto"/>
              </w:rPr>
            </w:pPr>
            <w:r>
              <w:rPr>
                <w:rFonts w:hint="eastAsia" w:ascii="宋体" w:hAnsi="宋体"/>
                <w:color w:val="auto"/>
              </w:rPr>
              <w:t>1.1.9</w:t>
            </w:r>
          </w:p>
          <w:p>
            <w:pPr>
              <w:jc w:val="center"/>
              <w:rPr>
                <w:rFonts w:hint="eastAsia" w:ascii="宋体" w:hAnsi="宋体"/>
                <w:color w:val="auto"/>
              </w:rPr>
            </w:pPr>
            <w:r>
              <w:rPr>
                <w:rFonts w:hint="eastAsia" w:ascii="宋体" w:hAnsi="宋体"/>
                <w:color w:val="auto"/>
              </w:rPr>
              <w:t>钢丝绳</w:t>
            </w:r>
          </w:p>
          <w:p>
            <w:pPr>
              <w:jc w:val="center"/>
              <w:rPr>
                <w:rFonts w:hint="eastAsia" w:ascii="宋体" w:hAnsi="宋体"/>
                <w:color w:val="auto"/>
                <w:spacing w:val="-20"/>
                <w:szCs w:val="21"/>
              </w:rPr>
            </w:pPr>
            <w:r>
              <w:rPr>
                <w:rFonts w:hint="eastAsia" w:ascii="宋体" w:hAnsi="宋体"/>
                <w:color w:val="auto"/>
                <w:spacing w:val="-20"/>
                <w:szCs w:val="21"/>
              </w:rPr>
              <w:t>防脱装置</w:t>
            </w:r>
          </w:p>
        </w:tc>
        <w:tc>
          <w:tcPr>
            <w:tcW w:w="3525" w:type="dxa"/>
            <w:gridSpan w:val="4"/>
            <w:noWrap w:val="0"/>
            <w:vAlign w:val="center"/>
          </w:tcPr>
          <w:p>
            <w:pPr>
              <w:rPr>
                <w:rFonts w:hint="eastAsia" w:ascii="宋体" w:hAnsi="宋体"/>
                <w:color w:val="auto"/>
              </w:rPr>
            </w:pPr>
            <w:r>
              <w:rPr>
                <w:rFonts w:hint="eastAsia" w:ascii="宋体" w:hAnsi="宋体"/>
                <w:color w:val="auto"/>
              </w:rPr>
              <w:t>滑轮、起升卷筒及动臂变幅卷筒均应设有钢丝绳防脱装置，该装置与滑轮或卷筒侧板最外缘的间隙不应超过钢丝绳直径的20%。</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10</w:t>
            </w:r>
          </w:p>
        </w:tc>
        <w:tc>
          <w:tcPr>
            <w:tcW w:w="678" w:type="dxa"/>
            <w:vMerge w:val="restart"/>
            <w:noWrap w:val="0"/>
            <w:vAlign w:val="center"/>
          </w:tcPr>
          <w:p>
            <w:pPr>
              <w:jc w:val="center"/>
              <w:rPr>
                <w:rFonts w:hint="eastAsia" w:ascii="宋体" w:hAnsi="宋体"/>
                <w:color w:val="auto"/>
              </w:rPr>
            </w:pPr>
            <w:r>
              <w:rPr>
                <w:rFonts w:hint="eastAsia" w:ascii="宋体" w:hAnsi="宋体"/>
                <w:color w:val="auto"/>
              </w:rPr>
              <w:t>1.2</w:t>
            </w:r>
          </w:p>
          <w:p>
            <w:pPr>
              <w:jc w:val="center"/>
              <w:rPr>
                <w:rFonts w:hint="eastAsia" w:ascii="宋体" w:hAnsi="宋体"/>
                <w:color w:val="auto"/>
                <w:spacing w:val="-20"/>
                <w:szCs w:val="21"/>
              </w:rPr>
            </w:pPr>
            <w:r>
              <w:rPr>
                <w:rFonts w:hint="eastAsia" w:ascii="宋体" w:hAnsi="宋体"/>
                <w:color w:val="auto"/>
                <w:spacing w:val="-20"/>
                <w:szCs w:val="21"/>
              </w:rPr>
              <w:t>司机室</w:t>
            </w:r>
          </w:p>
        </w:tc>
        <w:tc>
          <w:tcPr>
            <w:tcW w:w="915" w:type="dxa"/>
            <w:noWrap w:val="0"/>
            <w:vAlign w:val="center"/>
          </w:tcPr>
          <w:p>
            <w:pPr>
              <w:jc w:val="center"/>
              <w:rPr>
                <w:rFonts w:hint="eastAsia" w:ascii="宋体" w:hAnsi="宋体"/>
                <w:color w:val="auto"/>
              </w:rPr>
            </w:pPr>
            <w:r>
              <w:rPr>
                <w:rFonts w:hint="eastAsia" w:ascii="宋体" w:hAnsi="宋体"/>
                <w:color w:val="auto"/>
              </w:rPr>
              <w:t>1.2.1</w:t>
            </w:r>
          </w:p>
          <w:p>
            <w:pPr>
              <w:jc w:val="center"/>
              <w:rPr>
                <w:rFonts w:hint="eastAsia" w:ascii="宋体" w:hAnsi="宋体"/>
                <w:color w:val="auto"/>
              </w:rPr>
            </w:pPr>
            <w:r>
              <w:rPr>
                <w:rFonts w:hint="eastAsia" w:ascii="宋体" w:hAnsi="宋体"/>
                <w:color w:val="auto"/>
              </w:rPr>
              <w:t>司机室设置</w:t>
            </w:r>
          </w:p>
        </w:tc>
        <w:tc>
          <w:tcPr>
            <w:tcW w:w="3525" w:type="dxa"/>
            <w:gridSpan w:val="4"/>
            <w:noWrap w:val="0"/>
            <w:vAlign w:val="center"/>
          </w:tcPr>
          <w:p>
            <w:pPr>
              <w:rPr>
                <w:rFonts w:hint="eastAsia" w:ascii="宋体" w:hAnsi="宋体"/>
                <w:color w:val="auto"/>
              </w:rPr>
            </w:pPr>
            <w:r>
              <w:rPr>
                <w:rFonts w:hint="eastAsia" w:ascii="宋体" w:hAnsi="宋体"/>
                <w:color w:val="auto"/>
              </w:rPr>
              <w:t>起升高度超过30m的小车变幅塔机，或臂架根部铰点高度距轨顶或支承面高度超过25m的动臂变幅塔机，应设置</w:t>
            </w:r>
            <w:r>
              <w:rPr>
                <w:rFonts w:hint="eastAsia" w:ascii="宋体" w:hAnsi="宋体"/>
                <w:color w:val="auto"/>
                <w:szCs w:val="21"/>
              </w:rPr>
              <w:t>能与塔机一起回转的</w:t>
            </w:r>
            <w:r>
              <w:rPr>
                <w:rFonts w:hint="eastAsia" w:ascii="宋体" w:hAnsi="宋体"/>
                <w:color w:val="auto"/>
              </w:rPr>
              <w:t>司机室。</w:t>
            </w:r>
            <w:r>
              <w:rPr>
                <w:rFonts w:hint="eastAsia" w:ascii="宋体" w:hAnsi="宋体"/>
                <w:color w:val="auto"/>
                <w:szCs w:val="21"/>
              </w:rPr>
              <w:t>司机室不能悬挂在臂架上，在正常工作情况下，塔机的活动部件不应撞击司机室。</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11</w:t>
            </w:r>
          </w:p>
        </w:tc>
        <w:tc>
          <w:tcPr>
            <w:tcW w:w="678" w:type="dxa"/>
            <w:vMerge w:val="continue"/>
            <w:noWrap w:val="0"/>
            <w:vAlign w:val="top"/>
          </w:tcPr>
          <w:p>
            <w:pP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1.2.2</w:t>
            </w:r>
          </w:p>
          <w:p>
            <w:pPr>
              <w:jc w:val="center"/>
              <w:rPr>
                <w:rFonts w:hint="eastAsia" w:ascii="宋体" w:hAnsi="宋体"/>
                <w:color w:val="auto"/>
              </w:rPr>
            </w:pPr>
            <w:r>
              <w:rPr>
                <w:rFonts w:hint="eastAsia" w:ascii="宋体" w:hAnsi="宋体"/>
                <w:color w:val="auto"/>
              </w:rPr>
              <w:t>司机室门窗</w:t>
            </w:r>
          </w:p>
        </w:tc>
        <w:tc>
          <w:tcPr>
            <w:tcW w:w="3525" w:type="dxa"/>
            <w:gridSpan w:val="4"/>
            <w:noWrap w:val="0"/>
            <w:vAlign w:val="center"/>
          </w:tcPr>
          <w:p>
            <w:pPr>
              <w:rPr>
                <w:rFonts w:hint="eastAsia" w:ascii="宋体" w:hAnsi="宋体"/>
                <w:color w:val="auto"/>
                <w:szCs w:val="21"/>
              </w:rPr>
            </w:pPr>
            <w:r>
              <w:rPr>
                <w:rFonts w:hint="eastAsia" w:ascii="宋体" w:hAnsi="宋体"/>
                <w:color w:val="auto"/>
                <w:szCs w:val="21"/>
              </w:rPr>
              <w:t>司机室门应安装锁定装置。司机室外面有走台时，门应向外开启；通过地板进入司机室时，门应向内开启；顶棚有活动门时只能向上开启。</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restart"/>
            <w:noWrap w:val="0"/>
            <w:vAlign w:val="center"/>
          </w:tcPr>
          <w:p>
            <w:pPr>
              <w:jc w:val="center"/>
              <w:rPr>
                <w:rFonts w:hint="eastAsia" w:ascii="宋体" w:hAnsi="宋体"/>
                <w:color w:val="auto"/>
              </w:rPr>
            </w:pPr>
            <w:r>
              <w:rPr>
                <w:rFonts w:hint="eastAsia" w:ascii="宋体" w:hAnsi="宋体"/>
                <w:color w:val="auto"/>
              </w:rPr>
              <w:t>12</w:t>
            </w:r>
          </w:p>
        </w:tc>
        <w:tc>
          <w:tcPr>
            <w:tcW w:w="678" w:type="dxa"/>
            <w:vMerge w:val="continue"/>
            <w:noWrap w:val="0"/>
            <w:vAlign w:val="top"/>
          </w:tcPr>
          <w:p>
            <w:pPr>
              <w:rPr>
                <w:rFonts w:hint="eastAsia" w:ascii="宋体" w:hAnsi="宋体"/>
                <w:color w:val="auto"/>
              </w:rPr>
            </w:pPr>
          </w:p>
        </w:tc>
        <w:tc>
          <w:tcPr>
            <w:tcW w:w="915" w:type="dxa"/>
            <w:vMerge w:val="restart"/>
            <w:noWrap w:val="0"/>
            <w:vAlign w:val="center"/>
          </w:tcPr>
          <w:p>
            <w:pPr>
              <w:jc w:val="center"/>
              <w:rPr>
                <w:rFonts w:hint="eastAsia" w:ascii="宋体" w:hAnsi="宋体"/>
                <w:color w:val="auto"/>
              </w:rPr>
            </w:pPr>
            <w:r>
              <w:rPr>
                <w:rFonts w:hint="eastAsia" w:ascii="宋体" w:hAnsi="宋体"/>
                <w:color w:val="auto"/>
              </w:rPr>
              <w:t>1.2.3</w:t>
            </w:r>
          </w:p>
          <w:p>
            <w:pPr>
              <w:jc w:val="center"/>
              <w:rPr>
                <w:rFonts w:hint="eastAsia" w:ascii="宋体" w:hAnsi="宋体"/>
                <w:color w:val="auto"/>
              </w:rPr>
            </w:pPr>
            <w:r>
              <w:rPr>
                <w:rFonts w:hint="eastAsia" w:ascii="宋体" w:hAnsi="宋体"/>
                <w:color w:val="auto"/>
              </w:rPr>
              <w:t>司机室配置</w:t>
            </w:r>
          </w:p>
        </w:tc>
        <w:tc>
          <w:tcPr>
            <w:tcW w:w="3525" w:type="dxa"/>
            <w:gridSpan w:val="4"/>
            <w:noWrap w:val="0"/>
            <w:vAlign w:val="center"/>
          </w:tcPr>
          <w:p>
            <w:pPr>
              <w:rPr>
                <w:rFonts w:hint="eastAsia" w:ascii="宋体" w:hAnsi="宋体"/>
                <w:color w:val="auto"/>
                <w:szCs w:val="21"/>
              </w:rPr>
            </w:pPr>
            <w:r>
              <w:rPr>
                <w:rFonts w:hint="eastAsia" w:ascii="宋体" w:hAnsi="宋体"/>
                <w:color w:val="auto"/>
                <w:szCs w:val="21"/>
              </w:rPr>
              <w:t>司机室应通风、保暖和防雨；地板应铺设绝缘层。当司机室内温度低于5℃时，应装设非明火取暖装置；当司机室内温度高于35℃时，应装设防暑通风装置。</w:t>
            </w:r>
          </w:p>
        </w:tc>
        <w:tc>
          <w:tcPr>
            <w:tcW w:w="1200" w:type="dxa"/>
            <w:noWrap w:val="0"/>
            <w:vAlign w:val="center"/>
          </w:tcPr>
          <w:p>
            <w:pPr>
              <w:jc w:val="center"/>
              <w:rPr>
                <w:rFonts w:hint="eastAsia" w:ascii="宋体" w:hAnsi="宋体"/>
                <w:color w:val="auto"/>
              </w:rPr>
            </w:pPr>
          </w:p>
        </w:tc>
        <w:tc>
          <w:tcPr>
            <w:tcW w:w="1095" w:type="dxa"/>
            <w:vMerge w:val="restart"/>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top"/>
          </w:tcPr>
          <w:p>
            <w:pP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szCs w:val="21"/>
              </w:rPr>
            </w:pPr>
            <w:r>
              <w:rPr>
                <w:rFonts w:hint="eastAsia" w:ascii="宋体" w:hAnsi="宋体"/>
                <w:color w:val="auto"/>
                <w:szCs w:val="21"/>
              </w:rPr>
              <w:t>司机室内应配备符合消防要求的灭火器。</w:t>
            </w:r>
          </w:p>
        </w:tc>
        <w:tc>
          <w:tcPr>
            <w:tcW w:w="1200" w:type="dxa"/>
            <w:noWrap w:val="0"/>
            <w:vAlign w:val="center"/>
          </w:tcPr>
          <w:p>
            <w:pPr>
              <w:jc w:val="center"/>
              <w:rPr>
                <w:rFonts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13</w:t>
            </w:r>
          </w:p>
        </w:tc>
        <w:tc>
          <w:tcPr>
            <w:tcW w:w="678" w:type="dxa"/>
            <w:vMerge w:val="restart"/>
            <w:noWrap w:val="0"/>
            <w:vAlign w:val="center"/>
          </w:tcPr>
          <w:p>
            <w:pPr>
              <w:jc w:val="center"/>
              <w:rPr>
                <w:rFonts w:hint="eastAsia" w:ascii="宋体" w:hAnsi="宋体"/>
                <w:color w:val="auto"/>
              </w:rPr>
            </w:pPr>
            <w:r>
              <w:rPr>
                <w:rFonts w:hint="eastAsia" w:ascii="宋体" w:hAnsi="宋体"/>
                <w:color w:val="auto"/>
              </w:rPr>
              <w:t>1.3</w:t>
            </w:r>
          </w:p>
          <w:p>
            <w:pPr>
              <w:jc w:val="center"/>
              <w:rPr>
                <w:rFonts w:hint="eastAsia" w:ascii="宋体" w:hAnsi="宋体"/>
                <w:color w:val="auto"/>
              </w:rPr>
            </w:pPr>
            <w:r>
              <w:rPr>
                <w:rFonts w:hint="eastAsia" w:ascii="宋体" w:hAnsi="宋体"/>
                <w:color w:val="auto"/>
              </w:rPr>
              <w:t>塔机信息标识与信号</w:t>
            </w:r>
          </w:p>
        </w:tc>
        <w:tc>
          <w:tcPr>
            <w:tcW w:w="915" w:type="dxa"/>
            <w:noWrap w:val="0"/>
            <w:vAlign w:val="center"/>
          </w:tcPr>
          <w:p>
            <w:pPr>
              <w:jc w:val="center"/>
              <w:rPr>
                <w:rFonts w:hint="eastAsia" w:ascii="宋体" w:hAnsi="宋体"/>
                <w:color w:val="auto"/>
              </w:rPr>
            </w:pPr>
            <w:r>
              <w:rPr>
                <w:rFonts w:hint="eastAsia" w:ascii="宋体" w:hAnsi="宋体"/>
                <w:color w:val="auto"/>
              </w:rPr>
              <w:t>1.3.1</w:t>
            </w:r>
          </w:p>
          <w:p>
            <w:pPr>
              <w:jc w:val="center"/>
              <w:rPr>
                <w:rFonts w:hint="eastAsia" w:ascii="宋体" w:hAnsi="宋体"/>
                <w:color w:val="auto"/>
                <w:spacing w:val="-20"/>
                <w:szCs w:val="21"/>
              </w:rPr>
            </w:pPr>
            <w:r>
              <w:rPr>
                <w:rFonts w:hint="eastAsia" w:ascii="宋体" w:hAnsi="宋体"/>
                <w:color w:val="auto"/>
                <w:spacing w:val="-20"/>
                <w:szCs w:val="21"/>
              </w:rPr>
              <w:t>结构件可追溯标志</w:t>
            </w:r>
          </w:p>
        </w:tc>
        <w:tc>
          <w:tcPr>
            <w:tcW w:w="3525" w:type="dxa"/>
            <w:gridSpan w:val="4"/>
            <w:noWrap w:val="0"/>
            <w:vAlign w:val="center"/>
          </w:tcPr>
          <w:p>
            <w:pPr>
              <w:rPr>
                <w:rFonts w:hint="eastAsia" w:ascii="宋体" w:hAnsi="宋体"/>
                <w:color w:val="auto"/>
              </w:rPr>
            </w:pPr>
            <w:r>
              <w:rPr>
                <w:rFonts w:hint="eastAsia" w:ascii="宋体" w:hAnsi="宋体"/>
                <w:color w:val="auto"/>
              </w:rPr>
              <w:t>塔机主要结构件应具有可追溯制造日期的永久性标志。同一塔机的不同规格的塔身标准节应具有永久性的区分标志。</w:t>
            </w:r>
          </w:p>
        </w:tc>
        <w:tc>
          <w:tcPr>
            <w:tcW w:w="1200" w:type="dxa"/>
            <w:noWrap w:val="0"/>
            <w:vAlign w:val="center"/>
          </w:tcPr>
          <w:p>
            <w:pPr>
              <w:jc w:val="center"/>
              <w:rPr>
                <w:rFonts w:ascii="宋体" w:hAnsi="宋体"/>
                <w:color w:val="auto"/>
              </w:rPr>
            </w:pPr>
          </w:p>
        </w:tc>
        <w:tc>
          <w:tcPr>
            <w:tcW w:w="1095" w:type="dxa"/>
            <w:noWrap w:val="0"/>
            <w:vAlign w:val="center"/>
          </w:tcPr>
          <w:p>
            <w:pPr>
              <w:jc w:val="center"/>
              <w:rPr>
                <w:rFonts w:ascii="宋体" w:hAnsi="宋体"/>
                <w:color w:val="auto"/>
              </w:rPr>
            </w:pPr>
          </w:p>
        </w:tc>
        <w:tc>
          <w:tcPr>
            <w:tcW w:w="1290" w:type="dxa"/>
            <w:noWrap w:val="0"/>
            <w:vAlign w:val="center"/>
          </w:tcPr>
          <w:p>
            <w:pPr>
              <w:jc w:val="center"/>
              <w:rPr>
                <w:rFonts w:ascii="宋体" w:hAnsi="宋体"/>
                <w:color w:val="auto"/>
              </w:rPr>
            </w:pPr>
            <w:r>
              <w:rPr>
                <w:rFonts w:hint="eastAsia" w:ascii="宋体" w:hAnsi="宋体"/>
                <w:color w:val="auto"/>
              </w:rPr>
              <w:t>主要结构件追溯标志不一致，或者无追溯标志的，制造厂家未认可的，应当予以更换</w:t>
            </w:r>
          </w:p>
        </w:tc>
        <w:tc>
          <w:tcPr>
            <w:tcW w:w="1014" w:type="dxa"/>
            <w:noWrap w:val="0"/>
            <w:vAlign w:val="center"/>
          </w:tcPr>
          <w:p>
            <w:pPr>
              <w:jc w:val="center"/>
              <w:rPr>
                <w:rFonts w:hint="eastAsia" w:ascii="宋体" w:hAnsi="宋体"/>
                <w:color w:val="auto"/>
              </w:rPr>
            </w:pPr>
            <w:r>
              <w:rPr>
                <w:rFonts w:hint="eastAsia" w:ascii="宋体" w:hAnsi="宋体"/>
                <w:color w:val="auto"/>
              </w:rPr>
              <w:t>主要结构件追溯标志不一致，或者无追溯标志的，但经制造厂家认可的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14</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1.3.2</w:t>
            </w:r>
          </w:p>
          <w:p>
            <w:pPr>
              <w:jc w:val="center"/>
              <w:rPr>
                <w:rFonts w:hint="eastAsia" w:ascii="宋体" w:hAnsi="宋体"/>
                <w:color w:val="auto"/>
                <w:spacing w:val="-20"/>
                <w:szCs w:val="21"/>
              </w:rPr>
            </w:pPr>
            <w:r>
              <w:rPr>
                <w:rFonts w:hint="eastAsia" w:ascii="宋体" w:hAnsi="宋体"/>
                <w:color w:val="auto"/>
                <w:spacing w:val="-20"/>
                <w:szCs w:val="21"/>
              </w:rPr>
              <w:t>吊钩标志</w:t>
            </w:r>
          </w:p>
        </w:tc>
        <w:tc>
          <w:tcPr>
            <w:tcW w:w="3525" w:type="dxa"/>
            <w:gridSpan w:val="4"/>
            <w:noWrap w:val="0"/>
            <w:vAlign w:val="center"/>
          </w:tcPr>
          <w:p>
            <w:pPr>
              <w:rPr>
                <w:rFonts w:hint="eastAsia" w:ascii="宋体" w:hAnsi="宋体"/>
                <w:color w:val="auto"/>
              </w:rPr>
            </w:pPr>
            <w:r>
              <w:rPr>
                <w:rFonts w:hint="eastAsia" w:ascii="宋体" w:hAnsi="宋体"/>
                <w:color w:val="auto"/>
              </w:rPr>
              <w:t>吊钩应有永久、清晰的额定起重量标志。</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15</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1.3.3</w:t>
            </w:r>
          </w:p>
          <w:p>
            <w:pPr>
              <w:jc w:val="center"/>
              <w:rPr>
                <w:rFonts w:hint="eastAsia" w:ascii="宋体" w:hAnsi="宋体"/>
                <w:color w:val="auto"/>
                <w:spacing w:val="-20"/>
                <w:szCs w:val="21"/>
              </w:rPr>
            </w:pPr>
            <w:r>
              <w:rPr>
                <w:rFonts w:hint="eastAsia" w:ascii="宋体" w:hAnsi="宋体"/>
                <w:color w:val="auto"/>
                <w:spacing w:val="-20"/>
                <w:szCs w:val="21"/>
              </w:rPr>
              <w:t>产品标牌</w:t>
            </w:r>
          </w:p>
        </w:tc>
        <w:tc>
          <w:tcPr>
            <w:tcW w:w="3525" w:type="dxa"/>
            <w:gridSpan w:val="4"/>
            <w:noWrap w:val="0"/>
            <w:vAlign w:val="center"/>
          </w:tcPr>
          <w:p>
            <w:pPr>
              <w:spacing w:line="280" w:lineRule="exact"/>
              <w:rPr>
                <w:rFonts w:hint="eastAsia" w:ascii="宋体" w:hAnsi="宋体"/>
                <w:color w:val="auto"/>
              </w:rPr>
            </w:pPr>
            <w:r>
              <w:rPr>
                <w:rFonts w:hint="eastAsia" w:ascii="宋体" w:hAnsi="宋体"/>
                <w:color w:val="auto"/>
              </w:rPr>
              <w:t>应在塔身底部易于观察的位置固定产品标牌，产品标牌应采用耐用金属，其内容应至少包括：产品名称和型号规格；产品制造编号和出厂日期；制造厂名称；制造许可证号。</w:t>
            </w:r>
          </w:p>
        </w:tc>
        <w:tc>
          <w:tcPr>
            <w:tcW w:w="1200" w:type="dxa"/>
            <w:noWrap w:val="0"/>
            <w:vAlign w:val="center"/>
          </w:tcPr>
          <w:p>
            <w:pPr>
              <w:jc w:val="center"/>
              <w:rPr>
                <w:rFonts w:ascii="宋体" w:hAnsi="宋体"/>
                <w:color w:val="auto"/>
              </w:rPr>
            </w:pPr>
          </w:p>
        </w:tc>
        <w:tc>
          <w:tcPr>
            <w:tcW w:w="1095" w:type="dxa"/>
            <w:noWrap w:val="0"/>
            <w:vAlign w:val="center"/>
          </w:tcPr>
          <w:p>
            <w:pPr>
              <w:jc w:val="center"/>
              <w:rPr>
                <w:rFonts w:ascii="宋体" w:hAnsi="宋体"/>
                <w:color w:val="auto"/>
              </w:rPr>
            </w:pPr>
          </w:p>
        </w:tc>
        <w:tc>
          <w:tcPr>
            <w:tcW w:w="1290" w:type="dxa"/>
            <w:noWrap w:val="0"/>
            <w:vAlign w:val="center"/>
          </w:tcPr>
          <w:p>
            <w:pPr>
              <w:jc w:val="center"/>
              <w:rPr>
                <w:rFonts w:ascii="宋体" w:hAnsi="宋体"/>
                <w:color w:val="auto"/>
              </w:rPr>
            </w:pPr>
            <w:r>
              <w:rPr>
                <w:rFonts w:hint="eastAsia" w:ascii="宋体" w:hAnsi="宋体"/>
                <w:color w:val="auto"/>
              </w:rPr>
              <w:t>产品标牌与各机构铭牌出厂日期不一致，需厂家确认是否存在套牌、拼装情况，更换的电机等部件需在整机的使用寿命年限内，应做好相关的维保记录</w:t>
            </w:r>
          </w:p>
        </w:tc>
        <w:tc>
          <w:tcPr>
            <w:tcW w:w="1014" w:type="dxa"/>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16</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1.3.4</w:t>
            </w:r>
          </w:p>
          <w:p>
            <w:pPr>
              <w:jc w:val="center"/>
              <w:rPr>
                <w:rFonts w:hint="eastAsia" w:ascii="宋体" w:hAnsi="宋体"/>
                <w:color w:val="auto"/>
              </w:rPr>
            </w:pPr>
            <w:r>
              <w:rPr>
                <w:rFonts w:hint="eastAsia" w:ascii="宋体" w:hAnsi="宋体"/>
                <w:color w:val="auto"/>
                <w:spacing w:val="-20"/>
                <w:szCs w:val="21"/>
              </w:rPr>
              <w:t>图表标牌</w:t>
            </w:r>
          </w:p>
        </w:tc>
        <w:tc>
          <w:tcPr>
            <w:tcW w:w="3525" w:type="dxa"/>
            <w:gridSpan w:val="4"/>
            <w:noWrap w:val="0"/>
            <w:vAlign w:val="center"/>
          </w:tcPr>
          <w:p>
            <w:pPr>
              <w:rPr>
                <w:rFonts w:hint="eastAsia" w:ascii="宋体" w:hAnsi="宋体"/>
                <w:color w:val="auto"/>
              </w:rPr>
            </w:pPr>
            <w:r>
              <w:rPr>
                <w:rFonts w:hint="eastAsia" w:ascii="宋体" w:hAnsi="宋体"/>
                <w:color w:val="auto"/>
              </w:rPr>
              <w:t>在塔机司机室内易于观察的位置应设有耐用且清晰的图表标牌，其内容应符合规定。</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17</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1.3.5</w:t>
            </w:r>
          </w:p>
          <w:p>
            <w:pPr>
              <w:jc w:val="center"/>
              <w:rPr>
                <w:rFonts w:hint="eastAsia" w:ascii="宋体" w:hAnsi="宋体"/>
                <w:color w:val="auto"/>
                <w:spacing w:val="-20"/>
              </w:rPr>
            </w:pPr>
            <w:r>
              <w:rPr>
                <w:rFonts w:hint="eastAsia" w:ascii="宋体"/>
                <w:color w:val="auto"/>
                <w:spacing w:val="-20"/>
                <w:szCs w:val="21"/>
              </w:rPr>
              <w:t>操纵装置指示信息</w:t>
            </w:r>
          </w:p>
        </w:tc>
        <w:tc>
          <w:tcPr>
            <w:tcW w:w="3525" w:type="dxa"/>
            <w:gridSpan w:val="4"/>
            <w:noWrap w:val="0"/>
            <w:vAlign w:val="center"/>
          </w:tcPr>
          <w:p>
            <w:pPr>
              <w:rPr>
                <w:rFonts w:hint="eastAsia" w:ascii="宋体" w:hAnsi="宋体"/>
                <w:color w:val="auto"/>
              </w:rPr>
            </w:pPr>
            <w:r>
              <w:rPr>
                <w:rFonts w:hint="eastAsia" w:ascii="宋体"/>
                <w:color w:val="auto"/>
                <w:szCs w:val="21"/>
              </w:rPr>
              <w:t>所有操纵装置应标有文字或符号以指示其功能，并在适当位置指示操作的动作方向。指示信息应易于识别且清晰可见。</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restart"/>
            <w:noWrap w:val="0"/>
            <w:vAlign w:val="center"/>
          </w:tcPr>
          <w:p>
            <w:pPr>
              <w:jc w:val="center"/>
              <w:rPr>
                <w:rFonts w:hint="eastAsia" w:ascii="宋体" w:hAnsi="宋体"/>
                <w:color w:val="auto"/>
              </w:rPr>
            </w:pPr>
            <w:r>
              <w:rPr>
                <w:rFonts w:hint="eastAsia" w:ascii="宋体" w:hAnsi="宋体"/>
                <w:color w:val="auto"/>
              </w:rPr>
              <w:t>18</w:t>
            </w:r>
          </w:p>
        </w:tc>
        <w:tc>
          <w:tcPr>
            <w:tcW w:w="678" w:type="dxa"/>
            <w:vMerge w:val="continue"/>
            <w:noWrap w:val="0"/>
            <w:vAlign w:val="center"/>
          </w:tcPr>
          <w:p>
            <w:pPr>
              <w:jc w:val="center"/>
              <w:rPr>
                <w:rFonts w:hint="eastAsia" w:ascii="宋体" w:hAnsi="宋体"/>
                <w:color w:val="auto"/>
              </w:rPr>
            </w:pPr>
          </w:p>
        </w:tc>
        <w:tc>
          <w:tcPr>
            <w:tcW w:w="915" w:type="dxa"/>
            <w:vMerge w:val="restart"/>
            <w:noWrap w:val="0"/>
            <w:vAlign w:val="center"/>
          </w:tcPr>
          <w:p>
            <w:pPr>
              <w:jc w:val="center"/>
              <w:rPr>
                <w:rFonts w:hint="eastAsia" w:ascii="宋体" w:hAnsi="宋体"/>
                <w:color w:val="auto"/>
              </w:rPr>
            </w:pPr>
            <w:r>
              <w:rPr>
                <w:rFonts w:hint="eastAsia" w:ascii="宋体" w:hAnsi="宋体"/>
                <w:color w:val="auto"/>
              </w:rPr>
              <w:t>1.3.6</w:t>
            </w:r>
          </w:p>
          <w:p>
            <w:pPr>
              <w:jc w:val="center"/>
              <w:rPr>
                <w:rFonts w:hint="eastAsia" w:ascii="宋体" w:hAnsi="宋体"/>
                <w:color w:val="auto"/>
                <w:spacing w:val="-20"/>
                <w:szCs w:val="21"/>
              </w:rPr>
            </w:pPr>
            <w:r>
              <w:rPr>
                <w:rFonts w:hint="eastAsia" w:ascii="宋体" w:hAnsi="宋体"/>
                <w:color w:val="auto"/>
                <w:spacing w:val="-20"/>
                <w:szCs w:val="21"/>
              </w:rPr>
              <w:t>电源指示与声响警示信号</w:t>
            </w:r>
          </w:p>
        </w:tc>
        <w:tc>
          <w:tcPr>
            <w:tcW w:w="3525" w:type="dxa"/>
            <w:gridSpan w:val="4"/>
            <w:noWrap w:val="0"/>
            <w:vAlign w:val="center"/>
          </w:tcPr>
          <w:p>
            <w:pPr>
              <w:rPr>
                <w:rFonts w:hint="eastAsia" w:ascii="宋体" w:hAnsi="宋体"/>
                <w:color w:val="auto"/>
              </w:rPr>
            </w:pPr>
            <w:r>
              <w:rPr>
                <w:rFonts w:hint="eastAsia" w:ascii="宋体" w:hAnsi="宋体"/>
                <w:color w:val="auto"/>
              </w:rPr>
              <w:t>在司机室内明显位置应设有总电源开合状况的指示信号。</w:t>
            </w:r>
          </w:p>
        </w:tc>
        <w:tc>
          <w:tcPr>
            <w:tcW w:w="1200" w:type="dxa"/>
            <w:noWrap w:val="0"/>
            <w:vAlign w:val="center"/>
          </w:tcPr>
          <w:p>
            <w:pPr>
              <w:jc w:val="center"/>
              <w:rPr>
                <w:rFonts w:hint="eastAsia" w:ascii="宋体" w:hAnsi="宋体"/>
                <w:color w:val="auto"/>
              </w:rPr>
            </w:pPr>
          </w:p>
        </w:tc>
        <w:tc>
          <w:tcPr>
            <w:tcW w:w="1095" w:type="dxa"/>
            <w:vMerge w:val="restart"/>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rPr>
            </w:pPr>
            <w:r>
              <w:rPr>
                <w:rFonts w:hint="eastAsia" w:ascii="宋体" w:hAnsi="宋体"/>
                <w:color w:val="auto"/>
                <w:szCs w:val="21"/>
              </w:rPr>
              <w:t>操纵系统中应设有能对工作场地起警报作用的声响信号。</w:t>
            </w:r>
          </w:p>
        </w:tc>
        <w:tc>
          <w:tcPr>
            <w:tcW w:w="1200" w:type="dxa"/>
            <w:noWrap w:val="0"/>
            <w:vAlign w:val="center"/>
          </w:tcPr>
          <w:p>
            <w:pPr>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right"/>
        </w:trPr>
        <w:tc>
          <w:tcPr>
            <w:tcW w:w="534" w:type="dxa"/>
            <w:noWrap w:val="0"/>
            <w:vAlign w:val="center"/>
          </w:tcPr>
          <w:p>
            <w:pPr>
              <w:jc w:val="center"/>
              <w:rPr>
                <w:rFonts w:hint="eastAsia" w:ascii="宋体" w:hAnsi="宋体"/>
                <w:color w:val="auto"/>
              </w:rPr>
            </w:pPr>
            <w:r>
              <w:rPr>
                <w:rFonts w:hint="eastAsia" w:ascii="宋体" w:hAnsi="宋体"/>
                <w:color w:val="auto"/>
              </w:rPr>
              <w:t>19</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1.3.7</w:t>
            </w:r>
          </w:p>
          <w:p>
            <w:pPr>
              <w:jc w:val="center"/>
              <w:rPr>
                <w:rFonts w:hint="eastAsia" w:ascii="宋体" w:hAnsi="宋体"/>
                <w:color w:val="auto"/>
                <w:spacing w:val="-20"/>
                <w:szCs w:val="21"/>
              </w:rPr>
            </w:pPr>
            <w:r>
              <w:rPr>
                <w:rFonts w:hint="eastAsia" w:ascii="宋体" w:hAnsi="宋体"/>
                <w:color w:val="auto"/>
                <w:spacing w:val="-20"/>
                <w:szCs w:val="21"/>
              </w:rPr>
              <w:t>报警装置</w:t>
            </w:r>
          </w:p>
        </w:tc>
        <w:tc>
          <w:tcPr>
            <w:tcW w:w="3525" w:type="dxa"/>
            <w:gridSpan w:val="4"/>
            <w:noWrap w:val="0"/>
            <w:vAlign w:val="center"/>
          </w:tcPr>
          <w:p>
            <w:pPr>
              <w:rPr>
                <w:rFonts w:hint="eastAsia" w:ascii="宋体" w:hAnsi="宋体"/>
                <w:color w:val="auto"/>
              </w:rPr>
            </w:pPr>
            <w:r>
              <w:rPr>
                <w:rFonts w:hint="eastAsia" w:ascii="宋体" w:hAnsi="宋体"/>
                <w:color w:val="auto"/>
              </w:rPr>
              <w:t>塔机应装设起重力矩和起重量报警装置，且动作准确、可靠。</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20</w:t>
            </w:r>
          </w:p>
        </w:tc>
        <w:tc>
          <w:tcPr>
            <w:tcW w:w="678" w:type="dxa"/>
            <w:vMerge w:val="continue"/>
            <w:noWrap w:val="0"/>
            <w:vAlign w:val="center"/>
          </w:tcPr>
          <w:p>
            <w:pPr>
              <w:spacing w:line="240" w:lineRule="atLeast"/>
              <w:jc w:val="center"/>
              <w:rPr>
                <w:rFonts w:hint="eastAsia" w:ascii="宋体" w:hAnsi="宋体"/>
                <w:color w:val="auto"/>
                <w:spacing w:val="-22"/>
                <w:szCs w:val="21"/>
              </w:rPr>
            </w:pPr>
          </w:p>
        </w:tc>
        <w:tc>
          <w:tcPr>
            <w:tcW w:w="915" w:type="dxa"/>
            <w:noWrap w:val="0"/>
            <w:vAlign w:val="center"/>
          </w:tcPr>
          <w:p>
            <w:pPr>
              <w:jc w:val="center"/>
              <w:rPr>
                <w:rFonts w:hint="eastAsia" w:ascii="宋体" w:hAnsi="宋体"/>
                <w:color w:val="auto"/>
              </w:rPr>
            </w:pPr>
            <w:r>
              <w:rPr>
                <w:rFonts w:hint="eastAsia" w:ascii="宋体" w:hAnsi="宋体"/>
                <w:color w:val="auto"/>
              </w:rPr>
              <w:t>1.3.8</w:t>
            </w:r>
          </w:p>
          <w:p>
            <w:pPr>
              <w:jc w:val="center"/>
              <w:rPr>
                <w:rFonts w:hint="eastAsia" w:ascii="宋体" w:hAnsi="宋体"/>
                <w:color w:val="auto"/>
              </w:rPr>
            </w:pPr>
            <w:r>
              <w:rPr>
                <w:rFonts w:hint="eastAsia" w:ascii="宋体" w:hAnsi="宋体"/>
                <w:color w:val="auto"/>
              </w:rPr>
              <w:t>障碍指示信号</w:t>
            </w:r>
          </w:p>
        </w:tc>
        <w:tc>
          <w:tcPr>
            <w:tcW w:w="3525" w:type="dxa"/>
            <w:gridSpan w:val="4"/>
            <w:noWrap w:val="0"/>
            <w:vAlign w:val="center"/>
          </w:tcPr>
          <w:p>
            <w:pPr>
              <w:spacing w:line="280" w:lineRule="exact"/>
              <w:rPr>
                <w:rFonts w:hint="eastAsia" w:ascii="宋体" w:hAnsi="宋体"/>
                <w:color w:val="auto"/>
              </w:rPr>
            </w:pPr>
            <w:r>
              <w:rPr>
                <w:rFonts w:hint="eastAsia" w:ascii="宋体" w:hAnsi="宋体"/>
                <w:color w:val="auto"/>
              </w:rPr>
              <w:t>塔顶高度大于</w:t>
            </w:r>
            <w:r>
              <w:rPr>
                <w:rFonts w:ascii="宋体" w:hAnsi="宋体"/>
                <w:color w:val="auto"/>
              </w:rPr>
              <w:t>30m</w:t>
            </w:r>
            <w:r>
              <w:rPr>
                <w:rFonts w:hint="eastAsia" w:ascii="宋体" w:hAnsi="宋体"/>
                <w:color w:val="auto"/>
              </w:rPr>
              <w:t>的塔机存在下列情况之一时，应在塔顶和臂架端部安装红色障碍指示灯，且该指示灯的供电不应受停机的影响：(1)周围无高于塔机顶部的建筑物时；(2)有相碰可能时；(3)有可能成为飞机起落飞行的危险障碍时。</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21</w:t>
            </w:r>
          </w:p>
        </w:tc>
        <w:tc>
          <w:tcPr>
            <w:tcW w:w="678" w:type="dxa"/>
            <w:vMerge w:val="restart"/>
            <w:noWrap w:val="0"/>
            <w:vAlign w:val="center"/>
          </w:tcPr>
          <w:p>
            <w:pPr>
              <w:jc w:val="center"/>
              <w:rPr>
                <w:rFonts w:hint="eastAsia" w:ascii="宋体" w:hAnsi="宋体"/>
                <w:color w:val="auto"/>
              </w:rPr>
            </w:pPr>
            <w:r>
              <w:rPr>
                <w:rFonts w:hint="eastAsia" w:ascii="宋体" w:hAnsi="宋体"/>
                <w:color w:val="auto"/>
              </w:rPr>
              <w:t>1.4</w:t>
            </w:r>
          </w:p>
          <w:p>
            <w:pPr>
              <w:jc w:val="center"/>
              <w:rPr>
                <w:rFonts w:hint="eastAsia" w:ascii="宋体" w:hAnsi="宋体"/>
                <w:color w:val="auto"/>
              </w:rPr>
            </w:pPr>
            <w:r>
              <w:rPr>
                <w:rFonts w:hint="eastAsia" w:ascii="宋体" w:hAnsi="宋体"/>
                <w:color w:val="auto"/>
              </w:rPr>
              <w:t>电气控制操纵及保护</w:t>
            </w:r>
          </w:p>
        </w:tc>
        <w:tc>
          <w:tcPr>
            <w:tcW w:w="915" w:type="dxa"/>
            <w:noWrap w:val="0"/>
            <w:vAlign w:val="center"/>
          </w:tcPr>
          <w:p>
            <w:pPr>
              <w:jc w:val="center"/>
              <w:rPr>
                <w:rFonts w:hint="eastAsia" w:ascii="宋体" w:hAnsi="宋体"/>
                <w:color w:val="auto"/>
              </w:rPr>
            </w:pPr>
            <w:r>
              <w:rPr>
                <w:rFonts w:hint="eastAsia" w:ascii="宋体" w:hAnsi="宋体"/>
                <w:color w:val="auto"/>
              </w:rPr>
              <w:t>1.4.1</w:t>
            </w:r>
          </w:p>
          <w:p>
            <w:pPr>
              <w:jc w:val="center"/>
              <w:rPr>
                <w:rFonts w:hint="eastAsia" w:ascii="宋体" w:hAnsi="宋体"/>
                <w:color w:val="auto"/>
              </w:rPr>
            </w:pPr>
            <w:r>
              <w:rPr>
                <w:rFonts w:hint="eastAsia" w:ascii="宋体" w:hAnsi="宋体"/>
                <w:color w:val="auto"/>
              </w:rPr>
              <w:t>控制回路电源</w:t>
            </w:r>
          </w:p>
        </w:tc>
        <w:tc>
          <w:tcPr>
            <w:tcW w:w="3525" w:type="dxa"/>
            <w:gridSpan w:val="4"/>
            <w:noWrap w:val="0"/>
            <w:vAlign w:val="center"/>
          </w:tcPr>
          <w:p>
            <w:pPr>
              <w:rPr>
                <w:rFonts w:hint="eastAsia" w:ascii="宋体" w:hAnsi="宋体"/>
                <w:color w:val="auto"/>
              </w:rPr>
            </w:pPr>
            <w:r>
              <w:rPr>
                <w:rFonts w:hint="eastAsia" w:ascii="宋体" w:hAnsi="宋体"/>
                <w:color w:val="auto"/>
              </w:rPr>
              <w:t>控制回路电源应取自隔离变压器。</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restart"/>
            <w:noWrap w:val="0"/>
            <w:vAlign w:val="center"/>
          </w:tcPr>
          <w:p>
            <w:pPr>
              <w:jc w:val="center"/>
              <w:rPr>
                <w:rFonts w:hint="eastAsia" w:ascii="宋体" w:hAnsi="宋体"/>
                <w:color w:val="auto"/>
              </w:rPr>
            </w:pPr>
            <w:r>
              <w:rPr>
                <w:rFonts w:hint="eastAsia" w:ascii="宋体" w:hAnsi="宋体"/>
                <w:color w:val="auto"/>
              </w:rPr>
              <w:t>22</w:t>
            </w:r>
          </w:p>
        </w:tc>
        <w:tc>
          <w:tcPr>
            <w:tcW w:w="678" w:type="dxa"/>
            <w:vMerge w:val="continue"/>
            <w:noWrap w:val="0"/>
            <w:vAlign w:val="center"/>
          </w:tcPr>
          <w:p>
            <w:pPr>
              <w:jc w:val="center"/>
              <w:rPr>
                <w:rFonts w:hint="eastAsia" w:ascii="宋体" w:hAnsi="宋体"/>
                <w:color w:val="auto"/>
              </w:rPr>
            </w:pPr>
          </w:p>
        </w:tc>
        <w:tc>
          <w:tcPr>
            <w:tcW w:w="915" w:type="dxa"/>
            <w:vMerge w:val="restart"/>
            <w:noWrap w:val="0"/>
            <w:vAlign w:val="center"/>
          </w:tcPr>
          <w:p>
            <w:pPr>
              <w:jc w:val="center"/>
              <w:rPr>
                <w:rFonts w:hint="eastAsia" w:ascii="宋体" w:hAnsi="宋体"/>
                <w:color w:val="auto"/>
              </w:rPr>
            </w:pPr>
            <w:r>
              <w:rPr>
                <w:rFonts w:hint="eastAsia" w:ascii="宋体" w:hAnsi="宋体"/>
                <w:color w:val="auto"/>
              </w:rPr>
              <w:t>1.4.2</w:t>
            </w:r>
          </w:p>
          <w:p>
            <w:pPr>
              <w:jc w:val="center"/>
              <w:rPr>
                <w:rFonts w:hint="eastAsia" w:ascii="宋体" w:hAnsi="宋体"/>
                <w:color w:val="auto"/>
              </w:rPr>
            </w:pPr>
            <w:r>
              <w:rPr>
                <w:rFonts w:hint="eastAsia" w:ascii="宋体" w:hAnsi="宋体"/>
                <w:color w:val="auto"/>
              </w:rPr>
              <w:t>电气设备元件</w:t>
            </w:r>
          </w:p>
        </w:tc>
        <w:tc>
          <w:tcPr>
            <w:tcW w:w="3525" w:type="dxa"/>
            <w:gridSpan w:val="4"/>
            <w:noWrap w:val="0"/>
            <w:vAlign w:val="center"/>
          </w:tcPr>
          <w:p>
            <w:pPr>
              <w:rPr>
                <w:rFonts w:hint="eastAsia" w:ascii="宋体" w:hAnsi="宋体"/>
                <w:color w:val="auto"/>
              </w:rPr>
            </w:pPr>
            <w:r>
              <w:rPr>
                <w:rFonts w:hint="eastAsia" w:ascii="宋体" w:hAnsi="宋体"/>
                <w:color w:val="auto"/>
              </w:rPr>
              <w:t>电气控制设备和元件应设于柜内，能防雨、防灰尘。电阻器应设于操作人员不易接触的地方，并有防护。电气设备安装应牢固，需要防震的电器应有防震措施。电气连接应接触良好，防止松脱。配电箱内的连接导线应敷设于线槽或采用盘后X型布线，导线两端应设有与电气原理图一致的永久性标记。外部连接导线应敷设于线槽或金属管中。导线、线束应用卡子固定，以防摆动。</w:t>
            </w:r>
          </w:p>
        </w:tc>
        <w:tc>
          <w:tcPr>
            <w:tcW w:w="1200" w:type="dxa"/>
            <w:noWrap w:val="0"/>
            <w:vAlign w:val="center"/>
          </w:tcPr>
          <w:p>
            <w:pPr>
              <w:jc w:val="center"/>
              <w:rPr>
                <w:rFonts w:hint="eastAsia" w:ascii="宋体" w:hAnsi="宋体"/>
                <w:color w:val="auto"/>
              </w:rPr>
            </w:pPr>
          </w:p>
        </w:tc>
        <w:tc>
          <w:tcPr>
            <w:tcW w:w="1095" w:type="dxa"/>
            <w:vMerge w:val="restart"/>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rPr>
            </w:pPr>
            <w:r>
              <w:rPr>
                <w:rFonts w:hint="eastAsia" w:ascii="宋体" w:hAnsi="宋体"/>
                <w:color w:val="auto"/>
                <w:szCs w:val="21"/>
              </w:rPr>
              <w:t>电气柜(配电箱)应有门锁，门内应有原理图或布线图、操作指示等，门外应设有有电危险的警示标志。</w:t>
            </w:r>
          </w:p>
        </w:tc>
        <w:tc>
          <w:tcPr>
            <w:tcW w:w="1200" w:type="dxa"/>
            <w:noWrap w:val="0"/>
            <w:vAlign w:val="center"/>
          </w:tcPr>
          <w:p>
            <w:pPr>
              <w:jc w:val="center"/>
              <w:rPr>
                <w:rFonts w:hint="eastAsia" w:ascii="宋体" w:hAnsi="宋体"/>
                <w:color w:val="auto"/>
                <w:spacing w:val="-8"/>
                <w:sz w:val="18"/>
                <w:szCs w:val="18"/>
              </w:rPr>
            </w:pPr>
          </w:p>
        </w:tc>
        <w:tc>
          <w:tcPr>
            <w:tcW w:w="1095" w:type="dxa"/>
            <w:vMerge w:val="continue"/>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23</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1.4.3</w:t>
            </w:r>
          </w:p>
          <w:p>
            <w:pPr>
              <w:jc w:val="center"/>
              <w:rPr>
                <w:rFonts w:hint="eastAsia" w:ascii="宋体" w:hAnsi="宋体"/>
                <w:color w:val="auto"/>
              </w:rPr>
            </w:pPr>
            <w:r>
              <w:rPr>
                <w:rFonts w:hint="eastAsia" w:ascii="宋体" w:hAnsi="宋体"/>
                <w:color w:val="auto"/>
              </w:rPr>
              <w:t>联动操纵台</w:t>
            </w:r>
          </w:p>
        </w:tc>
        <w:tc>
          <w:tcPr>
            <w:tcW w:w="3525" w:type="dxa"/>
            <w:gridSpan w:val="4"/>
            <w:noWrap w:val="0"/>
            <w:vAlign w:val="center"/>
          </w:tcPr>
          <w:p>
            <w:pPr>
              <w:rPr>
                <w:rFonts w:hint="eastAsia" w:ascii="宋体" w:hAnsi="宋体"/>
                <w:color w:val="auto"/>
              </w:rPr>
            </w:pPr>
            <w:r>
              <w:rPr>
                <w:rFonts w:hint="eastAsia" w:ascii="宋体" w:hAnsi="宋体"/>
                <w:color w:val="auto"/>
              </w:rPr>
              <w:t>操纵装置应优先采用联动操纵台，联动操纵台应具有零位自锁和自动复位功能。</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restart"/>
            <w:noWrap w:val="0"/>
            <w:vAlign w:val="center"/>
          </w:tcPr>
          <w:p>
            <w:pPr>
              <w:jc w:val="center"/>
              <w:rPr>
                <w:rFonts w:hint="eastAsia" w:ascii="宋体" w:hAnsi="宋体"/>
                <w:color w:val="auto"/>
              </w:rPr>
            </w:pPr>
            <w:r>
              <w:rPr>
                <w:rFonts w:hint="eastAsia" w:ascii="宋体" w:hAnsi="宋体"/>
                <w:color w:val="auto"/>
              </w:rPr>
              <w:t>24</w:t>
            </w:r>
          </w:p>
        </w:tc>
        <w:tc>
          <w:tcPr>
            <w:tcW w:w="678" w:type="dxa"/>
            <w:vMerge w:val="continue"/>
            <w:noWrap w:val="0"/>
            <w:vAlign w:val="center"/>
          </w:tcPr>
          <w:p>
            <w:pPr>
              <w:jc w:val="center"/>
              <w:rPr>
                <w:rFonts w:hint="eastAsia" w:ascii="宋体" w:hAnsi="宋体"/>
                <w:color w:val="auto"/>
              </w:rPr>
            </w:pPr>
          </w:p>
        </w:tc>
        <w:tc>
          <w:tcPr>
            <w:tcW w:w="915" w:type="dxa"/>
            <w:vMerge w:val="restart"/>
            <w:noWrap w:val="0"/>
            <w:vAlign w:val="center"/>
          </w:tcPr>
          <w:p>
            <w:pPr>
              <w:jc w:val="center"/>
              <w:rPr>
                <w:rFonts w:hint="eastAsia" w:ascii="宋体" w:hAnsi="宋体"/>
                <w:color w:val="auto"/>
              </w:rPr>
            </w:pPr>
            <w:r>
              <w:rPr>
                <w:rFonts w:hint="eastAsia" w:ascii="宋体" w:hAnsi="宋体"/>
                <w:color w:val="auto"/>
              </w:rPr>
              <w:t>1.4.4</w:t>
            </w:r>
          </w:p>
          <w:p>
            <w:pPr>
              <w:jc w:val="center"/>
              <w:rPr>
                <w:rFonts w:hint="eastAsia" w:ascii="宋体" w:hAnsi="宋体"/>
                <w:color w:val="auto"/>
              </w:rPr>
            </w:pPr>
            <w:r>
              <w:rPr>
                <w:rFonts w:hint="eastAsia" w:ascii="宋体" w:hAnsi="宋体"/>
                <w:color w:val="auto"/>
              </w:rPr>
              <w:t>遥控式操纵台</w:t>
            </w:r>
          </w:p>
        </w:tc>
        <w:tc>
          <w:tcPr>
            <w:tcW w:w="3525" w:type="dxa"/>
            <w:gridSpan w:val="4"/>
            <w:noWrap w:val="0"/>
            <w:vAlign w:val="center"/>
          </w:tcPr>
          <w:p>
            <w:pPr>
              <w:rPr>
                <w:rFonts w:hint="eastAsia" w:ascii="宋体" w:hAnsi="宋体"/>
                <w:color w:val="auto"/>
                <w:spacing w:val="-4"/>
              </w:rPr>
            </w:pPr>
            <w:r>
              <w:rPr>
                <w:rFonts w:hint="eastAsia" w:ascii="宋体" w:hAnsi="宋体"/>
                <w:color w:val="auto"/>
              </w:rPr>
              <w:t>采用有线遥控式操纵台时，其控制回路电压不应高于</w:t>
            </w:r>
            <w:r>
              <w:rPr>
                <w:rFonts w:ascii="宋体" w:hAnsi="宋体"/>
                <w:color w:val="auto"/>
              </w:rPr>
              <w:t>48V</w:t>
            </w:r>
            <w:r>
              <w:rPr>
                <w:rFonts w:hint="eastAsia" w:ascii="宋体" w:hAnsi="宋体"/>
                <w:color w:val="auto"/>
              </w:rPr>
              <w:t>，防护等级不低于IP44</w:t>
            </w:r>
            <w:r>
              <w:rPr>
                <w:rFonts w:hint="eastAsia" w:ascii="宋体" w:hAnsi="宋体"/>
                <w:color w:val="auto"/>
                <w:spacing w:val="-4"/>
              </w:rPr>
              <w:t>。</w:t>
            </w:r>
          </w:p>
        </w:tc>
        <w:tc>
          <w:tcPr>
            <w:tcW w:w="1200" w:type="dxa"/>
            <w:noWrap w:val="0"/>
            <w:vAlign w:val="center"/>
          </w:tcPr>
          <w:p>
            <w:pPr>
              <w:jc w:val="center"/>
              <w:rPr>
                <w:rFonts w:hint="eastAsia" w:ascii="宋体" w:hAnsi="宋体"/>
                <w:color w:val="auto"/>
              </w:rPr>
            </w:pPr>
          </w:p>
        </w:tc>
        <w:tc>
          <w:tcPr>
            <w:tcW w:w="1095" w:type="dxa"/>
            <w:vMerge w:val="restart"/>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rPr>
            </w:pPr>
            <w:r>
              <w:rPr>
                <w:rFonts w:hint="eastAsia" w:ascii="宋体" w:hAnsi="宋体"/>
                <w:color w:val="auto"/>
              </w:rPr>
              <w:t>采用无线遥控式操纵台时，在失控时塔机应能自行停止工作。</w:t>
            </w:r>
          </w:p>
        </w:tc>
        <w:tc>
          <w:tcPr>
            <w:tcW w:w="1200" w:type="dxa"/>
            <w:noWrap w:val="0"/>
            <w:vAlign w:val="center"/>
          </w:tcPr>
          <w:p>
            <w:pPr>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25</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1.4.5</w:t>
            </w:r>
          </w:p>
          <w:p>
            <w:pPr>
              <w:jc w:val="center"/>
              <w:rPr>
                <w:rFonts w:hint="eastAsia" w:ascii="宋体" w:hAnsi="宋体"/>
                <w:color w:val="auto"/>
                <w:spacing w:val="-20"/>
                <w:szCs w:val="21"/>
              </w:rPr>
            </w:pPr>
            <w:r>
              <w:rPr>
                <w:rFonts w:hint="eastAsia" w:ascii="宋体" w:hAnsi="宋体"/>
                <w:color w:val="auto"/>
                <w:spacing w:val="-20"/>
                <w:szCs w:val="21"/>
              </w:rPr>
              <w:t>电气联锁</w:t>
            </w:r>
          </w:p>
        </w:tc>
        <w:tc>
          <w:tcPr>
            <w:tcW w:w="3525" w:type="dxa"/>
            <w:gridSpan w:val="4"/>
            <w:noWrap w:val="0"/>
            <w:vAlign w:val="center"/>
          </w:tcPr>
          <w:p>
            <w:pPr>
              <w:rPr>
                <w:rFonts w:hint="eastAsia" w:ascii="宋体" w:hAnsi="宋体"/>
                <w:color w:val="auto"/>
              </w:rPr>
            </w:pPr>
            <w:r>
              <w:rPr>
                <w:rFonts w:hint="eastAsia" w:ascii="宋体" w:hAnsi="宋体"/>
                <w:color w:val="auto"/>
              </w:rPr>
              <w:t>可以在两处或两处以上分别操纵的控制系统，应设有可靠的电气联锁装置。</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right"/>
        </w:trPr>
        <w:tc>
          <w:tcPr>
            <w:tcW w:w="534" w:type="dxa"/>
            <w:noWrap w:val="0"/>
            <w:vAlign w:val="center"/>
          </w:tcPr>
          <w:p>
            <w:pPr>
              <w:jc w:val="center"/>
              <w:rPr>
                <w:rFonts w:hint="eastAsia" w:ascii="宋体" w:hAnsi="宋体"/>
                <w:color w:val="auto"/>
              </w:rPr>
            </w:pPr>
            <w:r>
              <w:rPr>
                <w:rFonts w:hint="eastAsia" w:ascii="宋体" w:hAnsi="宋体"/>
                <w:color w:val="auto"/>
              </w:rPr>
              <w:t>26</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1.4.6</w:t>
            </w:r>
          </w:p>
          <w:p>
            <w:pPr>
              <w:jc w:val="center"/>
              <w:rPr>
                <w:rFonts w:hint="eastAsia" w:ascii="宋体" w:hAnsi="宋体"/>
                <w:color w:val="auto"/>
              </w:rPr>
            </w:pPr>
            <w:r>
              <w:rPr>
                <w:rFonts w:hint="eastAsia" w:ascii="宋体" w:hAnsi="宋体"/>
                <w:color w:val="auto"/>
              </w:rPr>
              <w:t>外部线路保护</w:t>
            </w:r>
          </w:p>
        </w:tc>
        <w:tc>
          <w:tcPr>
            <w:tcW w:w="3525" w:type="dxa"/>
            <w:gridSpan w:val="4"/>
            <w:noWrap w:val="0"/>
            <w:vAlign w:val="center"/>
          </w:tcPr>
          <w:p>
            <w:pPr>
              <w:rPr>
                <w:rFonts w:hint="eastAsia" w:ascii="宋体" w:hAnsi="宋体"/>
                <w:color w:val="auto"/>
              </w:rPr>
            </w:pPr>
            <w:r>
              <w:rPr>
                <w:rFonts w:hint="eastAsia" w:ascii="宋体" w:hAnsi="宋体"/>
                <w:color w:val="auto"/>
              </w:rPr>
              <w:t>塔机外部线路都应具有短路或接地引起的过电流保护功能，在线路发生短路或接地故障时，瞬时保护装置应能分断线路。</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restart"/>
            <w:noWrap w:val="0"/>
            <w:vAlign w:val="center"/>
          </w:tcPr>
          <w:p>
            <w:pPr>
              <w:jc w:val="center"/>
              <w:rPr>
                <w:rFonts w:hint="eastAsia" w:ascii="宋体" w:hAnsi="宋体"/>
                <w:color w:val="auto"/>
              </w:rPr>
            </w:pPr>
            <w:r>
              <w:rPr>
                <w:rFonts w:hint="eastAsia" w:ascii="宋体" w:hAnsi="宋体"/>
                <w:color w:val="auto"/>
              </w:rPr>
              <w:t>27</w:t>
            </w:r>
          </w:p>
        </w:tc>
        <w:tc>
          <w:tcPr>
            <w:tcW w:w="678" w:type="dxa"/>
            <w:vMerge w:val="continue"/>
            <w:noWrap w:val="0"/>
            <w:vAlign w:val="center"/>
          </w:tcPr>
          <w:p>
            <w:pPr>
              <w:jc w:val="center"/>
              <w:rPr>
                <w:rFonts w:hint="eastAsia" w:ascii="宋体" w:hAnsi="宋体"/>
                <w:color w:val="auto"/>
              </w:rPr>
            </w:pPr>
          </w:p>
        </w:tc>
        <w:tc>
          <w:tcPr>
            <w:tcW w:w="915" w:type="dxa"/>
            <w:vMerge w:val="restart"/>
            <w:noWrap w:val="0"/>
            <w:vAlign w:val="center"/>
          </w:tcPr>
          <w:p>
            <w:pPr>
              <w:jc w:val="center"/>
              <w:rPr>
                <w:rFonts w:hint="eastAsia" w:ascii="宋体" w:hAnsi="宋体"/>
                <w:color w:val="auto"/>
              </w:rPr>
            </w:pPr>
            <w:r>
              <w:rPr>
                <w:rFonts w:hint="eastAsia" w:ascii="宋体" w:hAnsi="宋体"/>
                <w:color w:val="auto"/>
              </w:rPr>
              <w:t>1.4.7</w:t>
            </w:r>
          </w:p>
          <w:p>
            <w:pPr>
              <w:jc w:val="center"/>
              <w:rPr>
                <w:rFonts w:hint="eastAsia" w:ascii="宋体" w:hAnsi="宋体"/>
                <w:color w:val="auto"/>
                <w:spacing w:val="-20"/>
                <w:szCs w:val="21"/>
              </w:rPr>
            </w:pPr>
            <w:r>
              <w:rPr>
                <w:rFonts w:hint="eastAsia" w:ascii="宋体" w:hAnsi="宋体"/>
                <w:color w:val="auto"/>
              </w:rPr>
              <w:t>短路与</w:t>
            </w:r>
          </w:p>
          <w:p>
            <w:pPr>
              <w:jc w:val="center"/>
              <w:rPr>
                <w:rFonts w:hint="eastAsia" w:ascii="宋体" w:hAnsi="宋体"/>
                <w:color w:val="auto"/>
                <w:spacing w:val="-20"/>
                <w:szCs w:val="21"/>
              </w:rPr>
            </w:pPr>
            <w:r>
              <w:rPr>
                <w:rFonts w:hint="eastAsia" w:ascii="宋体" w:hAnsi="宋体"/>
                <w:color w:val="auto"/>
                <w:spacing w:val="-20"/>
                <w:szCs w:val="21"/>
              </w:rPr>
              <w:t>过流保护</w:t>
            </w:r>
          </w:p>
        </w:tc>
        <w:tc>
          <w:tcPr>
            <w:tcW w:w="3525" w:type="dxa"/>
            <w:gridSpan w:val="4"/>
            <w:noWrap w:val="0"/>
            <w:vAlign w:val="center"/>
          </w:tcPr>
          <w:p>
            <w:pPr>
              <w:rPr>
                <w:rFonts w:hint="eastAsia" w:ascii="宋体" w:hAnsi="宋体"/>
                <w:color w:val="auto"/>
              </w:rPr>
            </w:pPr>
            <w:r>
              <w:rPr>
                <w:rFonts w:hint="eastAsia" w:ascii="宋体" w:hAnsi="宋体"/>
                <w:color w:val="auto"/>
                <w:spacing w:val="-4"/>
                <w:szCs w:val="21"/>
              </w:rPr>
              <w:t>对起重力矩为800</w:t>
            </w:r>
            <w:r>
              <w:rPr>
                <w:rFonts w:ascii="宋体" w:hAnsi="宋体"/>
                <w:bCs/>
                <w:color w:val="auto"/>
                <w:sz w:val="24"/>
              </w:rPr>
              <w:t>kN</w:t>
            </w:r>
            <w:r>
              <w:rPr>
                <w:bCs/>
                <w:color w:val="auto"/>
                <w:sz w:val="24"/>
              </w:rPr>
              <w:t>•</w:t>
            </w:r>
            <w:r>
              <w:rPr>
                <w:rFonts w:ascii="宋体" w:hAnsi="宋体"/>
                <w:bCs/>
                <w:color w:val="auto"/>
                <w:sz w:val="24"/>
              </w:rPr>
              <w:t>m</w:t>
            </w:r>
            <w:r>
              <w:rPr>
                <w:rFonts w:hint="eastAsia" w:ascii="宋体" w:hAnsi="宋体"/>
                <w:color w:val="auto"/>
                <w:spacing w:val="-4"/>
                <w:szCs w:val="21"/>
              </w:rPr>
              <w:t>以上的塔机，各机构应设置单独的自动空气开关作为短路保护。</w:t>
            </w:r>
          </w:p>
        </w:tc>
        <w:tc>
          <w:tcPr>
            <w:tcW w:w="1200" w:type="dxa"/>
            <w:noWrap w:val="0"/>
            <w:vAlign w:val="center"/>
          </w:tcPr>
          <w:p>
            <w:pPr>
              <w:jc w:val="center"/>
              <w:rPr>
                <w:rFonts w:hint="eastAsia" w:ascii="宋体" w:hAnsi="宋体"/>
                <w:color w:val="auto"/>
              </w:rPr>
            </w:pPr>
          </w:p>
        </w:tc>
        <w:tc>
          <w:tcPr>
            <w:tcW w:w="1095" w:type="dxa"/>
            <w:vMerge w:val="restart"/>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spacing w:val="-4"/>
                <w:szCs w:val="21"/>
              </w:rPr>
            </w:pPr>
            <w:r>
              <w:rPr>
                <w:rFonts w:hint="eastAsia" w:ascii="宋体" w:hAnsi="宋体"/>
                <w:color w:val="auto"/>
              </w:rPr>
              <w:t>塔机的每个机构均应单独设置过流保护装置。</w:t>
            </w:r>
          </w:p>
        </w:tc>
        <w:tc>
          <w:tcPr>
            <w:tcW w:w="1200" w:type="dxa"/>
            <w:noWrap w:val="0"/>
            <w:vAlign w:val="center"/>
          </w:tcPr>
          <w:p>
            <w:pPr>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28</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1.4.8</w:t>
            </w:r>
          </w:p>
          <w:p>
            <w:pPr>
              <w:jc w:val="center"/>
              <w:rPr>
                <w:rFonts w:hint="eastAsia" w:ascii="宋体" w:hAnsi="宋体"/>
                <w:color w:val="auto"/>
              </w:rPr>
            </w:pPr>
            <w:r>
              <w:rPr>
                <w:rFonts w:hint="eastAsia" w:ascii="宋体" w:hAnsi="宋体"/>
                <w:color w:val="auto"/>
                <w:spacing w:val="-20"/>
                <w:szCs w:val="21"/>
              </w:rPr>
              <w:t>欠压及过压保护</w:t>
            </w:r>
          </w:p>
        </w:tc>
        <w:tc>
          <w:tcPr>
            <w:tcW w:w="3525" w:type="dxa"/>
            <w:gridSpan w:val="4"/>
            <w:noWrap w:val="0"/>
            <w:vAlign w:val="center"/>
          </w:tcPr>
          <w:p>
            <w:pPr>
              <w:rPr>
                <w:rFonts w:hint="eastAsia" w:ascii="宋体" w:hAnsi="宋体"/>
                <w:color w:val="auto"/>
              </w:rPr>
            </w:pPr>
            <w:r>
              <w:rPr>
                <w:rFonts w:hint="eastAsia" w:ascii="宋体" w:hAnsi="宋体"/>
                <w:color w:val="auto"/>
              </w:rPr>
              <w:t>电气系统应设有欠压、过压保护装置，当电压低于0.85倍额定电压值或高于1.1倍额定电压值时，应报警或切断电源电路。</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right"/>
        </w:trPr>
        <w:tc>
          <w:tcPr>
            <w:tcW w:w="534" w:type="dxa"/>
            <w:noWrap w:val="0"/>
            <w:vAlign w:val="center"/>
          </w:tcPr>
          <w:p>
            <w:pPr>
              <w:jc w:val="center"/>
              <w:rPr>
                <w:rFonts w:hint="eastAsia" w:ascii="宋体" w:hAnsi="宋体"/>
                <w:color w:val="auto"/>
              </w:rPr>
            </w:pPr>
            <w:r>
              <w:rPr>
                <w:rFonts w:hint="eastAsia" w:ascii="宋体" w:hAnsi="宋体"/>
                <w:color w:val="auto"/>
              </w:rPr>
              <w:t>★29</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1.4.9</w:t>
            </w:r>
          </w:p>
          <w:p>
            <w:pPr>
              <w:jc w:val="center"/>
              <w:rPr>
                <w:rFonts w:hint="eastAsia" w:ascii="宋体" w:hAnsi="宋体"/>
                <w:color w:val="auto"/>
                <w:spacing w:val="-20"/>
                <w:szCs w:val="21"/>
              </w:rPr>
            </w:pPr>
            <w:r>
              <w:rPr>
                <w:rFonts w:hint="eastAsia" w:ascii="宋体" w:hAnsi="宋体"/>
                <w:color w:val="auto"/>
                <w:spacing w:val="-20"/>
                <w:szCs w:val="21"/>
              </w:rPr>
              <w:t>失压保护</w:t>
            </w:r>
          </w:p>
        </w:tc>
        <w:tc>
          <w:tcPr>
            <w:tcW w:w="3525" w:type="dxa"/>
            <w:gridSpan w:val="4"/>
            <w:noWrap w:val="0"/>
            <w:vAlign w:val="center"/>
          </w:tcPr>
          <w:p>
            <w:pPr>
              <w:rPr>
                <w:rFonts w:hint="eastAsia" w:ascii="宋体" w:hAnsi="宋体"/>
                <w:color w:val="auto"/>
                <w:spacing w:val="-4"/>
                <w:szCs w:val="21"/>
              </w:rPr>
            </w:pPr>
            <w:r>
              <w:rPr>
                <w:rFonts w:hint="eastAsia" w:ascii="宋体" w:hAnsi="宋体"/>
                <w:color w:val="auto"/>
                <w:spacing w:val="-4"/>
                <w:szCs w:val="21"/>
              </w:rPr>
              <w:t>塔机必须设有失压保护，当供电电源中断后，各用电设备均应处于断电状态，避免恢复供电时用电自动启动。</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ascii="宋体" w:hAnsi="宋体"/>
                <w:color w:val="auto"/>
              </w:rPr>
            </w:pPr>
            <w:r>
              <w:rPr>
                <w:rFonts w:hint="eastAsia" w:ascii="宋体" w:hAnsi="宋体"/>
                <w:color w:val="auto"/>
              </w:rPr>
              <w:t>因目前塔机均使用自动复位操纵杆，司机手离开操纵手柄后，操纵手柄自动复零位，即使通电塔机也不动作，产生危害小</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w:t>
            </w:r>
          </w:p>
          <w:p>
            <w:pPr>
              <w:jc w:val="center"/>
              <w:rPr>
                <w:rFonts w:hint="eastAsia" w:ascii="宋体" w:hAnsi="宋体"/>
                <w:color w:val="auto"/>
              </w:rPr>
            </w:pPr>
            <w:r>
              <w:rPr>
                <w:rFonts w:hint="eastAsia" w:ascii="宋体" w:hAnsi="宋体"/>
                <w:color w:val="auto"/>
              </w:rPr>
              <w:t>30</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spacing w:val="-20"/>
                <w:szCs w:val="21"/>
              </w:rPr>
            </w:pPr>
            <w:r>
              <w:rPr>
                <w:rFonts w:hint="eastAsia" w:ascii="宋体" w:hAnsi="宋体"/>
                <w:color w:val="auto"/>
                <w:spacing w:val="-20"/>
                <w:szCs w:val="21"/>
              </w:rPr>
              <w:t>1.4.10</w:t>
            </w:r>
          </w:p>
          <w:p>
            <w:pPr>
              <w:jc w:val="center"/>
              <w:rPr>
                <w:rFonts w:hint="eastAsia" w:ascii="宋体" w:hAnsi="宋体"/>
                <w:color w:val="auto"/>
                <w:spacing w:val="-20"/>
                <w:szCs w:val="21"/>
              </w:rPr>
            </w:pPr>
            <w:r>
              <w:rPr>
                <w:rFonts w:hint="eastAsia" w:ascii="宋体" w:hAnsi="宋体"/>
                <w:color w:val="auto"/>
                <w:spacing w:val="-20"/>
                <w:szCs w:val="21"/>
              </w:rPr>
              <w:t>零位保护</w:t>
            </w:r>
          </w:p>
        </w:tc>
        <w:tc>
          <w:tcPr>
            <w:tcW w:w="3525" w:type="dxa"/>
            <w:gridSpan w:val="4"/>
            <w:noWrap w:val="0"/>
            <w:vAlign w:val="center"/>
          </w:tcPr>
          <w:p>
            <w:pPr>
              <w:rPr>
                <w:rFonts w:hint="eastAsia" w:ascii="宋体" w:hAnsi="宋体"/>
                <w:color w:val="auto"/>
              </w:rPr>
            </w:pPr>
            <w:r>
              <w:rPr>
                <w:rFonts w:hint="eastAsia" w:ascii="宋体" w:hAnsi="宋体"/>
                <w:color w:val="auto"/>
              </w:rPr>
              <w:t>塔机各机构控制回路必须设置零位保护(机构运行采用按钮控制除外)，零位保护应有效、可靠。</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因目前塔机均使用自动复位操纵杆，司机手离开操纵手柄后，操纵手柄自动复零位，即使通电塔机也不动作，产生危害小</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color w:val="auto"/>
              </w:rPr>
            </w:pPr>
            <w:r>
              <w:rPr>
                <w:rFonts w:hint="eastAsia" w:ascii="宋体" w:hAnsi="宋体"/>
                <w:color w:val="auto"/>
              </w:rPr>
              <w:t>31</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spacing w:val="-20"/>
                <w:szCs w:val="21"/>
              </w:rPr>
            </w:pPr>
            <w:r>
              <w:rPr>
                <w:rFonts w:hint="eastAsia" w:ascii="宋体" w:hAnsi="宋体"/>
                <w:color w:val="auto"/>
                <w:spacing w:val="-20"/>
                <w:szCs w:val="21"/>
              </w:rPr>
              <w:t>1.4.11</w:t>
            </w:r>
          </w:p>
          <w:p>
            <w:pPr>
              <w:jc w:val="center"/>
              <w:rPr>
                <w:rFonts w:hint="eastAsia" w:ascii="宋体" w:hAnsi="宋体"/>
                <w:color w:val="auto"/>
                <w:spacing w:val="-20"/>
                <w:szCs w:val="21"/>
              </w:rPr>
            </w:pPr>
            <w:r>
              <w:rPr>
                <w:rFonts w:hint="eastAsia" w:ascii="宋体" w:hAnsi="宋体"/>
                <w:color w:val="auto"/>
                <w:spacing w:val="-20"/>
                <w:szCs w:val="21"/>
              </w:rPr>
              <w:t>相序保护</w:t>
            </w:r>
          </w:p>
        </w:tc>
        <w:tc>
          <w:tcPr>
            <w:tcW w:w="3525" w:type="dxa"/>
            <w:gridSpan w:val="4"/>
            <w:noWrap w:val="0"/>
            <w:vAlign w:val="center"/>
          </w:tcPr>
          <w:p>
            <w:pPr>
              <w:rPr>
                <w:rFonts w:hint="eastAsia" w:ascii="宋体" w:hAnsi="宋体"/>
                <w:color w:val="auto"/>
              </w:rPr>
            </w:pPr>
            <w:r>
              <w:rPr>
                <w:rFonts w:hint="eastAsia" w:ascii="宋体" w:hAnsi="宋体"/>
                <w:color w:val="auto"/>
              </w:rPr>
              <w:t>塔机电源电路中应装设错相及断相保护装置，且有效、可靠。</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right"/>
        </w:trPr>
        <w:tc>
          <w:tcPr>
            <w:tcW w:w="534" w:type="dxa"/>
            <w:noWrap w:val="0"/>
            <w:vAlign w:val="center"/>
          </w:tcPr>
          <w:p>
            <w:pPr>
              <w:jc w:val="center"/>
              <w:rPr>
                <w:color w:val="auto"/>
              </w:rPr>
            </w:pPr>
            <w:r>
              <w:rPr>
                <w:rFonts w:hint="eastAsia" w:ascii="宋体" w:hAnsi="宋体"/>
                <w:color w:val="auto"/>
              </w:rPr>
              <w:t>32</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1.4.12</w:t>
            </w:r>
          </w:p>
          <w:p>
            <w:pPr>
              <w:jc w:val="center"/>
              <w:rPr>
                <w:rFonts w:hint="eastAsia" w:ascii="宋体" w:hAnsi="宋体"/>
                <w:color w:val="auto"/>
              </w:rPr>
            </w:pPr>
            <w:r>
              <w:rPr>
                <w:rFonts w:hint="eastAsia" w:ascii="宋体" w:hAnsi="宋体"/>
                <w:color w:val="auto"/>
              </w:rPr>
              <w:t>紧急断电开关</w:t>
            </w:r>
          </w:p>
        </w:tc>
        <w:tc>
          <w:tcPr>
            <w:tcW w:w="3525" w:type="dxa"/>
            <w:gridSpan w:val="4"/>
            <w:noWrap w:val="0"/>
            <w:vAlign w:val="center"/>
          </w:tcPr>
          <w:p>
            <w:pPr>
              <w:rPr>
                <w:rFonts w:hint="eastAsia" w:ascii="宋体" w:hAnsi="宋体"/>
                <w:color w:val="auto"/>
              </w:rPr>
            </w:pPr>
            <w:r>
              <w:rPr>
                <w:rFonts w:hint="eastAsia" w:ascii="宋体" w:hAnsi="宋体"/>
                <w:color w:val="auto"/>
              </w:rPr>
              <w:t>应在司机操作方便的地方设置非自动复位的、能切断塔机总控制电源的紧急断电开关。</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right"/>
        </w:trPr>
        <w:tc>
          <w:tcPr>
            <w:tcW w:w="534" w:type="dxa"/>
            <w:noWrap w:val="0"/>
            <w:vAlign w:val="center"/>
          </w:tcPr>
          <w:p>
            <w:pPr>
              <w:jc w:val="center"/>
              <w:rPr>
                <w:color w:val="auto"/>
              </w:rPr>
            </w:pPr>
            <w:r>
              <w:rPr>
                <w:rFonts w:hint="eastAsia" w:ascii="宋体" w:hAnsi="宋体"/>
                <w:color w:val="auto"/>
              </w:rPr>
              <w:t>★33</w:t>
            </w:r>
          </w:p>
        </w:tc>
        <w:tc>
          <w:tcPr>
            <w:tcW w:w="678" w:type="dxa"/>
            <w:vMerge w:val="restart"/>
            <w:noWrap w:val="0"/>
            <w:vAlign w:val="center"/>
          </w:tcPr>
          <w:p>
            <w:pPr>
              <w:jc w:val="center"/>
              <w:rPr>
                <w:rFonts w:hint="eastAsia" w:ascii="宋体" w:hAnsi="宋体"/>
                <w:color w:val="auto"/>
              </w:rPr>
            </w:pPr>
            <w:r>
              <w:rPr>
                <w:rFonts w:hint="eastAsia" w:ascii="宋体" w:hAnsi="宋体"/>
                <w:color w:val="auto"/>
              </w:rPr>
              <w:t>1.4</w:t>
            </w:r>
          </w:p>
          <w:p>
            <w:pPr>
              <w:jc w:val="center"/>
              <w:rPr>
                <w:rFonts w:hint="eastAsia" w:ascii="宋体" w:hAnsi="宋体"/>
                <w:color w:val="auto"/>
              </w:rPr>
            </w:pPr>
            <w:r>
              <w:rPr>
                <w:rFonts w:hint="eastAsia" w:ascii="宋体" w:hAnsi="宋体"/>
                <w:color w:val="auto"/>
              </w:rPr>
              <w:t>电气控制操纵及保护</w:t>
            </w:r>
          </w:p>
        </w:tc>
        <w:tc>
          <w:tcPr>
            <w:tcW w:w="915" w:type="dxa"/>
            <w:noWrap w:val="0"/>
            <w:vAlign w:val="center"/>
          </w:tcPr>
          <w:p>
            <w:pPr>
              <w:jc w:val="center"/>
              <w:rPr>
                <w:rFonts w:hint="eastAsia" w:ascii="宋体" w:hAnsi="宋体"/>
                <w:color w:val="auto"/>
              </w:rPr>
            </w:pPr>
            <w:r>
              <w:rPr>
                <w:rFonts w:hint="eastAsia" w:ascii="宋体" w:hAnsi="宋体"/>
                <w:color w:val="auto"/>
              </w:rPr>
              <w:t>1.4.13</w:t>
            </w:r>
          </w:p>
          <w:p>
            <w:pPr>
              <w:jc w:val="center"/>
              <w:rPr>
                <w:rFonts w:hint="eastAsia" w:ascii="宋体" w:hAnsi="宋体"/>
                <w:color w:val="auto"/>
                <w:spacing w:val="-20"/>
                <w:szCs w:val="21"/>
              </w:rPr>
            </w:pPr>
            <w:r>
              <w:rPr>
                <w:rFonts w:hint="eastAsia" w:ascii="宋体" w:hAnsi="宋体"/>
                <w:color w:val="auto"/>
                <w:spacing w:val="-20"/>
                <w:szCs w:val="21"/>
              </w:rPr>
              <w:t>超速开关</w:t>
            </w:r>
          </w:p>
        </w:tc>
        <w:tc>
          <w:tcPr>
            <w:tcW w:w="3525" w:type="dxa"/>
            <w:gridSpan w:val="4"/>
            <w:noWrap w:val="0"/>
            <w:vAlign w:val="center"/>
          </w:tcPr>
          <w:p>
            <w:pPr>
              <w:jc w:val="left"/>
              <w:rPr>
                <w:rFonts w:hint="eastAsia" w:ascii="宋体" w:hAnsi="宋体"/>
                <w:color w:val="auto"/>
              </w:rPr>
            </w:pPr>
            <w:r>
              <w:rPr>
                <w:rFonts w:hint="eastAsia" w:ascii="宋体" w:hAnsi="宋体"/>
                <w:color w:val="auto"/>
              </w:rPr>
              <w:t>对动臂变幅机构，应设置超速开关。</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r>
              <w:rPr>
                <w:rFonts w:hint="eastAsia" w:ascii="宋体" w:hAnsi="宋体"/>
                <w:color w:val="auto"/>
              </w:rPr>
              <w:t>√</w:t>
            </w:r>
          </w:p>
        </w:tc>
        <w:tc>
          <w:tcPr>
            <w:tcW w:w="1290" w:type="dxa"/>
            <w:noWrap w:val="0"/>
            <w:vAlign w:val="center"/>
          </w:tcPr>
          <w:p>
            <w:pPr>
              <w:jc w:val="center"/>
              <w:rPr>
                <w:rFonts w:hint="eastAsia" w:ascii="宋体" w:hAnsi="宋体"/>
                <w:color w:val="auto"/>
              </w:rPr>
            </w:pP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restart"/>
            <w:noWrap w:val="0"/>
            <w:vAlign w:val="center"/>
          </w:tcPr>
          <w:p>
            <w:pPr>
              <w:jc w:val="center"/>
              <w:rPr>
                <w:rFonts w:hint="eastAsia" w:ascii="宋体" w:hAnsi="宋体"/>
                <w:color w:val="auto"/>
              </w:rPr>
            </w:pPr>
            <w:r>
              <w:rPr>
                <w:rFonts w:hint="eastAsia" w:ascii="宋体" w:hAnsi="宋体"/>
                <w:color w:val="auto"/>
              </w:rPr>
              <w:t>34</w:t>
            </w:r>
          </w:p>
        </w:tc>
        <w:tc>
          <w:tcPr>
            <w:tcW w:w="678" w:type="dxa"/>
            <w:vMerge w:val="continue"/>
            <w:noWrap w:val="0"/>
            <w:vAlign w:val="center"/>
          </w:tcPr>
          <w:p>
            <w:pPr>
              <w:jc w:val="center"/>
              <w:rPr>
                <w:rFonts w:hint="eastAsia" w:ascii="宋体" w:hAnsi="宋体"/>
                <w:color w:val="auto"/>
              </w:rPr>
            </w:pPr>
          </w:p>
        </w:tc>
        <w:tc>
          <w:tcPr>
            <w:tcW w:w="915" w:type="dxa"/>
            <w:vMerge w:val="restart"/>
            <w:noWrap w:val="0"/>
            <w:vAlign w:val="center"/>
          </w:tcPr>
          <w:p>
            <w:pPr>
              <w:jc w:val="center"/>
              <w:rPr>
                <w:rFonts w:hint="eastAsia" w:ascii="宋体" w:hAnsi="宋体"/>
                <w:color w:val="auto"/>
              </w:rPr>
            </w:pPr>
            <w:r>
              <w:rPr>
                <w:rFonts w:hint="eastAsia" w:ascii="宋体" w:hAnsi="宋体"/>
                <w:color w:val="auto"/>
              </w:rPr>
              <w:t>1.4.14</w:t>
            </w:r>
          </w:p>
          <w:p>
            <w:pPr>
              <w:jc w:val="center"/>
              <w:rPr>
                <w:rFonts w:hint="eastAsia" w:ascii="宋体" w:hAnsi="宋体"/>
                <w:color w:val="auto"/>
              </w:rPr>
            </w:pPr>
            <w:r>
              <w:rPr>
                <w:rFonts w:hint="eastAsia" w:ascii="宋体" w:hAnsi="宋体"/>
                <w:color w:val="auto"/>
              </w:rPr>
              <w:t>预减速保护</w:t>
            </w:r>
          </w:p>
        </w:tc>
        <w:tc>
          <w:tcPr>
            <w:tcW w:w="3525" w:type="dxa"/>
            <w:gridSpan w:val="4"/>
            <w:noWrap w:val="0"/>
            <w:vAlign w:val="center"/>
          </w:tcPr>
          <w:p>
            <w:pPr>
              <w:rPr>
                <w:rFonts w:hint="eastAsia" w:ascii="宋体" w:hAnsi="宋体"/>
                <w:color w:val="auto"/>
              </w:rPr>
            </w:pPr>
            <w:r>
              <w:rPr>
                <w:rFonts w:hint="eastAsia" w:ascii="宋体" w:hAnsi="宋体"/>
                <w:color w:val="auto"/>
              </w:rPr>
              <w:t>具有多挡变速的起升机构应设有自动减速功能，使吊钩在到达上限位前自动降为低速运行。</w:t>
            </w:r>
          </w:p>
        </w:tc>
        <w:tc>
          <w:tcPr>
            <w:tcW w:w="1200" w:type="dxa"/>
            <w:noWrap w:val="0"/>
            <w:vAlign w:val="center"/>
          </w:tcPr>
          <w:p>
            <w:pPr>
              <w:jc w:val="center"/>
              <w:rPr>
                <w:rFonts w:hint="eastAsia" w:ascii="宋体" w:hAnsi="宋体"/>
                <w:color w:val="auto"/>
              </w:rPr>
            </w:pPr>
          </w:p>
        </w:tc>
        <w:tc>
          <w:tcPr>
            <w:tcW w:w="1095" w:type="dxa"/>
            <w:vMerge w:val="restart"/>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rPr>
            </w:pPr>
            <w:r>
              <w:rPr>
                <w:rFonts w:hint="eastAsia" w:ascii="宋体" w:hAnsi="宋体"/>
                <w:color w:val="auto"/>
              </w:rPr>
              <w:t>具有多挡变速的变幅机构应设有自动减速功能，使变幅到达极限位置前自动降为低速运行。</w:t>
            </w:r>
          </w:p>
        </w:tc>
        <w:tc>
          <w:tcPr>
            <w:tcW w:w="1200" w:type="dxa"/>
            <w:noWrap w:val="0"/>
            <w:vAlign w:val="center"/>
          </w:tcPr>
          <w:p>
            <w:pPr>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35</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1.4.15</w:t>
            </w:r>
          </w:p>
          <w:p>
            <w:pPr>
              <w:jc w:val="center"/>
              <w:rPr>
                <w:rFonts w:hint="eastAsia" w:ascii="宋体" w:hAnsi="宋体"/>
                <w:color w:val="auto"/>
                <w:spacing w:val="-20"/>
                <w:szCs w:val="21"/>
              </w:rPr>
            </w:pPr>
            <w:r>
              <w:rPr>
                <w:rFonts w:hint="eastAsia" w:ascii="宋体" w:hAnsi="宋体"/>
                <w:color w:val="auto"/>
                <w:spacing w:val="-20"/>
                <w:szCs w:val="21"/>
              </w:rPr>
              <w:t>带载变幅减速保护</w:t>
            </w:r>
          </w:p>
        </w:tc>
        <w:tc>
          <w:tcPr>
            <w:tcW w:w="3525" w:type="dxa"/>
            <w:gridSpan w:val="4"/>
            <w:noWrap w:val="0"/>
            <w:vAlign w:val="center"/>
          </w:tcPr>
          <w:p>
            <w:pPr>
              <w:rPr>
                <w:rFonts w:hint="eastAsia" w:ascii="宋体" w:hAnsi="宋体"/>
                <w:color w:val="auto"/>
              </w:rPr>
            </w:pPr>
            <w:r>
              <w:rPr>
                <w:rFonts w:hint="eastAsia" w:ascii="宋体" w:hAnsi="宋体"/>
                <w:color w:val="auto"/>
                <w:spacing w:val="-4"/>
              </w:rPr>
              <w:t>对最大变幅速度超过40m/min的小车变幅塔机，在小车向外运行，且起重力矩达到额定值的80%时，变幅速度应自动转换为不大于40m/min的速度运行。</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color w:val="auto"/>
              </w:rPr>
            </w:pPr>
            <w:r>
              <w:rPr>
                <w:rFonts w:hint="eastAsia" w:ascii="宋体" w:hAnsi="宋体"/>
                <w:color w:val="auto"/>
              </w:rPr>
              <w:t>★36</w:t>
            </w:r>
          </w:p>
        </w:tc>
        <w:tc>
          <w:tcPr>
            <w:tcW w:w="678" w:type="dxa"/>
            <w:vMerge w:val="restart"/>
            <w:noWrap w:val="0"/>
            <w:vAlign w:val="center"/>
          </w:tcPr>
          <w:p>
            <w:pPr>
              <w:jc w:val="center"/>
              <w:rPr>
                <w:rFonts w:hint="eastAsia" w:ascii="宋体" w:hAnsi="宋体"/>
                <w:color w:val="auto"/>
              </w:rPr>
            </w:pPr>
            <w:r>
              <w:rPr>
                <w:rFonts w:hint="eastAsia" w:ascii="宋体" w:hAnsi="宋体"/>
                <w:color w:val="auto"/>
              </w:rPr>
              <w:t>1.5</w:t>
            </w:r>
          </w:p>
          <w:p>
            <w:pPr>
              <w:jc w:val="center"/>
              <w:rPr>
                <w:rFonts w:hint="eastAsia" w:ascii="宋体" w:hAnsi="宋体"/>
                <w:color w:val="auto"/>
              </w:rPr>
            </w:pPr>
            <w:r>
              <w:rPr>
                <w:rFonts w:hint="eastAsia" w:ascii="宋体" w:hAnsi="宋体"/>
                <w:color w:val="auto"/>
              </w:rPr>
              <w:t>爬升系统</w:t>
            </w:r>
          </w:p>
        </w:tc>
        <w:tc>
          <w:tcPr>
            <w:tcW w:w="915" w:type="dxa"/>
            <w:noWrap w:val="0"/>
            <w:vAlign w:val="center"/>
          </w:tcPr>
          <w:p>
            <w:pPr>
              <w:jc w:val="center"/>
              <w:rPr>
                <w:rFonts w:hint="eastAsia" w:ascii="宋体" w:hAnsi="宋体"/>
                <w:color w:val="auto"/>
                <w:spacing w:val="-20"/>
                <w:szCs w:val="21"/>
              </w:rPr>
            </w:pPr>
            <w:r>
              <w:rPr>
                <w:rFonts w:hint="eastAsia" w:ascii="宋体" w:hAnsi="宋体"/>
                <w:color w:val="auto"/>
                <w:spacing w:val="-20"/>
                <w:szCs w:val="21"/>
              </w:rPr>
              <w:t>1.5.1</w:t>
            </w:r>
          </w:p>
          <w:p>
            <w:pPr>
              <w:jc w:val="center"/>
              <w:rPr>
                <w:rFonts w:hint="eastAsia" w:ascii="宋体" w:hAnsi="宋体"/>
                <w:color w:val="auto"/>
                <w:spacing w:val="-20"/>
                <w:szCs w:val="21"/>
              </w:rPr>
            </w:pPr>
            <w:r>
              <w:rPr>
                <w:rFonts w:hint="eastAsia" w:ascii="宋体" w:hAnsi="宋体"/>
                <w:color w:val="auto"/>
                <w:spacing w:val="-20"/>
                <w:szCs w:val="21"/>
              </w:rPr>
              <w:t>液压系统安全装置</w:t>
            </w:r>
          </w:p>
        </w:tc>
        <w:tc>
          <w:tcPr>
            <w:tcW w:w="3525" w:type="dxa"/>
            <w:gridSpan w:val="4"/>
            <w:noWrap w:val="0"/>
            <w:vAlign w:val="center"/>
          </w:tcPr>
          <w:p>
            <w:pPr>
              <w:rPr>
                <w:rFonts w:hint="eastAsia" w:ascii="宋体" w:hAnsi="宋体"/>
                <w:color w:val="auto"/>
              </w:rPr>
            </w:pPr>
            <w:r>
              <w:rPr>
                <w:rFonts w:hint="eastAsia" w:ascii="宋体" w:hAnsi="宋体"/>
                <w:color w:val="auto"/>
              </w:rPr>
              <w:t>液压系统应有防止过载和液压冲击的安全装置。安全溢流阀的调定压力不应大于系统额定工作压力的110%，系统的额定工作压力不应大于液压泵的额定压力。</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ascii="宋体" w:hAnsi="宋体"/>
                <w:color w:val="auto"/>
              </w:rPr>
            </w:pPr>
            <w:r>
              <w:rPr>
                <w:rFonts w:hint="eastAsia" w:ascii="宋体" w:hAnsi="宋体"/>
                <w:color w:val="auto"/>
              </w:rPr>
              <w:t>使用非原厂的液压系统安装装置，液压泵站额定工作压力小于系统的工作压力</w:t>
            </w:r>
          </w:p>
        </w:tc>
        <w:tc>
          <w:tcPr>
            <w:tcW w:w="1290" w:type="dxa"/>
            <w:noWrap w:val="0"/>
            <w:vAlign w:val="center"/>
          </w:tcPr>
          <w:p>
            <w:pPr>
              <w:jc w:val="center"/>
              <w:rPr>
                <w:rFonts w:hint="eastAsia" w:ascii="宋体" w:hAnsi="宋体"/>
                <w:color w:val="auto"/>
              </w:rPr>
            </w:pP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right"/>
        </w:trPr>
        <w:tc>
          <w:tcPr>
            <w:tcW w:w="534" w:type="dxa"/>
            <w:noWrap w:val="0"/>
            <w:vAlign w:val="center"/>
          </w:tcPr>
          <w:p>
            <w:pPr>
              <w:jc w:val="center"/>
              <w:rPr>
                <w:color w:val="auto"/>
              </w:rPr>
            </w:pPr>
            <w:r>
              <w:rPr>
                <w:rFonts w:hint="eastAsia" w:ascii="宋体" w:hAnsi="宋体"/>
                <w:color w:val="auto"/>
              </w:rPr>
              <w:t>★37</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spacing w:val="-20"/>
                <w:szCs w:val="21"/>
              </w:rPr>
            </w:pPr>
            <w:r>
              <w:rPr>
                <w:rFonts w:hint="eastAsia" w:ascii="宋体" w:hAnsi="宋体"/>
                <w:color w:val="auto"/>
                <w:spacing w:val="-20"/>
                <w:szCs w:val="21"/>
              </w:rPr>
              <w:t>1.5.2</w:t>
            </w:r>
          </w:p>
          <w:p>
            <w:pPr>
              <w:jc w:val="center"/>
              <w:rPr>
                <w:rFonts w:hint="eastAsia" w:ascii="宋体" w:hAnsi="宋体"/>
                <w:color w:val="auto"/>
                <w:spacing w:val="-20"/>
                <w:szCs w:val="21"/>
              </w:rPr>
            </w:pPr>
            <w:r>
              <w:rPr>
                <w:rFonts w:hint="eastAsia" w:ascii="宋体" w:hAnsi="宋体"/>
                <w:color w:val="auto"/>
                <w:spacing w:val="-20"/>
                <w:szCs w:val="21"/>
              </w:rPr>
              <w:t>液压缸</w:t>
            </w:r>
          </w:p>
          <w:p>
            <w:pPr>
              <w:jc w:val="center"/>
              <w:rPr>
                <w:rFonts w:hint="eastAsia" w:ascii="宋体" w:hAnsi="宋体"/>
                <w:color w:val="auto"/>
                <w:spacing w:val="-20"/>
                <w:szCs w:val="21"/>
              </w:rPr>
            </w:pPr>
            <w:r>
              <w:rPr>
                <w:rFonts w:hint="eastAsia" w:ascii="宋体" w:hAnsi="宋体"/>
                <w:color w:val="auto"/>
                <w:spacing w:val="-20"/>
                <w:szCs w:val="21"/>
              </w:rPr>
              <w:t>保护装置</w:t>
            </w:r>
          </w:p>
        </w:tc>
        <w:tc>
          <w:tcPr>
            <w:tcW w:w="3525" w:type="dxa"/>
            <w:gridSpan w:val="4"/>
            <w:noWrap w:val="0"/>
            <w:vAlign w:val="center"/>
          </w:tcPr>
          <w:p>
            <w:pPr>
              <w:rPr>
                <w:rFonts w:hint="eastAsia" w:ascii="宋体" w:hAnsi="宋体"/>
                <w:color w:val="auto"/>
              </w:rPr>
            </w:pPr>
            <w:r>
              <w:rPr>
                <w:rFonts w:hint="eastAsia" w:ascii="宋体" w:hAnsi="宋体"/>
                <w:color w:val="auto"/>
              </w:rPr>
              <w:t>顶升液压缸必须具有平衡阀或液压锁，平衡阀或液压锁与液压缸之间不得用软管连接。</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r>
              <w:rPr>
                <w:rFonts w:hint="eastAsia" w:ascii="宋体" w:hAnsi="宋体"/>
                <w:color w:val="auto"/>
              </w:rPr>
              <w:t>√</w:t>
            </w:r>
          </w:p>
        </w:tc>
        <w:tc>
          <w:tcPr>
            <w:tcW w:w="1290" w:type="dxa"/>
            <w:noWrap w:val="0"/>
            <w:vAlign w:val="center"/>
          </w:tcPr>
          <w:p>
            <w:pPr>
              <w:jc w:val="center"/>
              <w:rPr>
                <w:rFonts w:hint="eastAsia" w:ascii="宋体" w:hAnsi="宋体"/>
                <w:color w:val="auto"/>
              </w:rPr>
            </w:pP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38</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1.5.3</w:t>
            </w:r>
          </w:p>
          <w:p>
            <w:pPr>
              <w:jc w:val="center"/>
              <w:rPr>
                <w:rFonts w:hint="eastAsia" w:ascii="宋体" w:hAnsi="宋体"/>
                <w:color w:val="auto"/>
                <w:spacing w:val="-20"/>
                <w:szCs w:val="21"/>
              </w:rPr>
            </w:pPr>
            <w:r>
              <w:rPr>
                <w:rFonts w:hint="eastAsia" w:ascii="宋体" w:hAnsi="宋体"/>
                <w:color w:val="auto"/>
                <w:spacing w:val="-20"/>
                <w:szCs w:val="21"/>
              </w:rPr>
              <w:t>液压油表</w:t>
            </w:r>
          </w:p>
        </w:tc>
        <w:tc>
          <w:tcPr>
            <w:tcW w:w="3525" w:type="dxa"/>
            <w:gridSpan w:val="4"/>
            <w:noWrap w:val="0"/>
            <w:vAlign w:val="center"/>
          </w:tcPr>
          <w:p>
            <w:pPr>
              <w:rPr>
                <w:rFonts w:hint="eastAsia" w:ascii="宋体" w:hAnsi="宋体"/>
                <w:color w:val="auto"/>
              </w:rPr>
            </w:pPr>
            <w:r>
              <w:rPr>
                <w:rFonts w:hint="eastAsia" w:ascii="宋体" w:hAnsi="宋体"/>
                <w:color w:val="auto"/>
              </w:rPr>
              <w:t>液压油表应在标定的有效期内使用。</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★39</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spacing w:line="260" w:lineRule="exact"/>
              <w:jc w:val="center"/>
              <w:rPr>
                <w:rFonts w:hint="eastAsia" w:ascii="宋体" w:hAnsi="宋体"/>
                <w:color w:val="auto"/>
              </w:rPr>
            </w:pPr>
            <w:r>
              <w:rPr>
                <w:rFonts w:hint="eastAsia" w:ascii="宋体" w:hAnsi="宋体"/>
                <w:color w:val="auto"/>
              </w:rPr>
              <w:t>1.5.4</w:t>
            </w:r>
          </w:p>
          <w:p>
            <w:pPr>
              <w:spacing w:line="260" w:lineRule="exact"/>
              <w:jc w:val="center"/>
              <w:rPr>
                <w:rFonts w:hint="eastAsia" w:ascii="宋体" w:hAnsi="宋体"/>
                <w:color w:val="auto"/>
              </w:rPr>
            </w:pPr>
            <w:r>
              <w:rPr>
                <w:rFonts w:hint="eastAsia" w:ascii="宋体" w:hAnsi="宋体"/>
                <w:color w:val="auto"/>
              </w:rPr>
              <w:t>爬升结构件</w:t>
            </w:r>
          </w:p>
        </w:tc>
        <w:tc>
          <w:tcPr>
            <w:tcW w:w="3525" w:type="dxa"/>
            <w:gridSpan w:val="4"/>
            <w:noWrap w:val="0"/>
            <w:vAlign w:val="center"/>
          </w:tcPr>
          <w:p>
            <w:pPr>
              <w:rPr>
                <w:rFonts w:hint="eastAsia" w:ascii="宋体" w:hAnsi="宋体"/>
                <w:color w:val="auto"/>
              </w:rPr>
            </w:pPr>
            <w:r>
              <w:rPr>
                <w:rFonts w:hint="eastAsia" w:ascii="宋体" w:hAnsi="宋体"/>
                <w:color w:val="auto"/>
              </w:rPr>
              <w:t>顶升支承梁、爬爪、爬升支承座应无变形、可见裂纹等缺陷。</w:t>
            </w:r>
          </w:p>
        </w:tc>
        <w:tc>
          <w:tcPr>
            <w:tcW w:w="1200" w:type="dxa"/>
            <w:noWrap w:val="0"/>
            <w:vAlign w:val="center"/>
          </w:tcPr>
          <w:p>
            <w:pPr>
              <w:jc w:val="center"/>
              <w:rPr>
                <w:rFonts w:ascii="宋体" w:hAnsi="宋体"/>
                <w:color w:val="auto"/>
              </w:rPr>
            </w:pPr>
          </w:p>
        </w:tc>
        <w:tc>
          <w:tcPr>
            <w:tcW w:w="1095" w:type="dxa"/>
            <w:noWrap w:val="0"/>
            <w:vAlign w:val="center"/>
          </w:tcPr>
          <w:p>
            <w:pPr>
              <w:jc w:val="center"/>
              <w:rPr>
                <w:rFonts w:ascii="宋体" w:hAnsi="宋体"/>
                <w:color w:val="auto"/>
              </w:rPr>
            </w:pPr>
            <w:r>
              <w:rPr>
                <w:rFonts w:hint="eastAsia" w:ascii="宋体" w:hAnsi="宋体"/>
                <w:color w:val="auto"/>
              </w:rPr>
              <w:t>严重变形、断裂的</w:t>
            </w:r>
          </w:p>
        </w:tc>
        <w:tc>
          <w:tcPr>
            <w:tcW w:w="1290" w:type="dxa"/>
            <w:noWrap w:val="0"/>
            <w:vAlign w:val="center"/>
          </w:tcPr>
          <w:p>
            <w:pPr>
              <w:jc w:val="center"/>
              <w:rPr>
                <w:rFonts w:ascii="宋体" w:hAnsi="宋体"/>
                <w:color w:val="auto"/>
              </w:rPr>
            </w:pPr>
            <w:r>
              <w:rPr>
                <w:rFonts w:hint="eastAsia" w:ascii="宋体" w:hAnsi="宋体"/>
                <w:color w:val="auto"/>
              </w:rPr>
              <w:t>轻微变型可以修复或者通过厂家技术鉴定不影响正常使用的</w:t>
            </w:r>
          </w:p>
        </w:tc>
        <w:tc>
          <w:tcPr>
            <w:tcW w:w="1014" w:type="dxa"/>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40</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1.5.5</w:t>
            </w:r>
          </w:p>
          <w:p>
            <w:pPr>
              <w:jc w:val="center"/>
              <w:rPr>
                <w:rFonts w:hint="eastAsia" w:ascii="宋体" w:hAnsi="宋体"/>
                <w:color w:val="auto"/>
                <w:spacing w:val="-20"/>
                <w:szCs w:val="21"/>
              </w:rPr>
            </w:pPr>
            <w:r>
              <w:rPr>
                <w:rFonts w:hint="eastAsia" w:ascii="宋体" w:hAnsi="宋体"/>
                <w:color w:val="auto"/>
                <w:spacing w:val="-20"/>
                <w:szCs w:val="21"/>
              </w:rPr>
              <w:t>爬升装置防脱保护</w:t>
            </w:r>
          </w:p>
        </w:tc>
        <w:tc>
          <w:tcPr>
            <w:tcW w:w="3525" w:type="dxa"/>
            <w:gridSpan w:val="4"/>
            <w:noWrap w:val="0"/>
            <w:vAlign w:val="center"/>
          </w:tcPr>
          <w:p>
            <w:pPr>
              <w:rPr>
                <w:rFonts w:hint="eastAsia" w:ascii="宋体" w:hAnsi="宋体"/>
                <w:color w:val="auto"/>
              </w:rPr>
            </w:pPr>
            <w:r>
              <w:rPr>
                <w:rFonts w:hint="eastAsia" w:ascii="宋体" w:hAnsi="宋体"/>
                <w:color w:val="auto"/>
              </w:rPr>
              <w:t>自升式塔机应具有防止塔身在正常加节、降节作业时，爬升装置从塔身支承中或油缸端头从其连接结构中自行(非人为操作)脱出的功能。</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41</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1.5.6</w:t>
            </w:r>
          </w:p>
          <w:p>
            <w:pPr>
              <w:jc w:val="center"/>
              <w:rPr>
                <w:rFonts w:hint="eastAsia" w:ascii="宋体" w:hAnsi="宋体"/>
                <w:color w:val="auto"/>
                <w:spacing w:val="-20"/>
                <w:szCs w:val="21"/>
              </w:rPr>
            </w:pPr>
            <w:r>
              <w:rPr>
                <w:rFonts w:hint="eastAsia" w:ascii="宋体" w:hAnsi="宋体"/>
                <w:color w:val="auto"/>
                <w:spacing w:val="-20"/>
                <w:szCs w:val="21"/>
              </w:rPr>
              <w:t>导向滚轮</w:t>
            </w:r>
          </w:p>
          <w:p>
            <w:pPr>
              <w:jc w:val="center"/>
              <w:rPr>
                <w:rFonts w:hint="eastAsia" w:ascii="宋体" w:hAnsi="宋体"/>
                <w:color w:val="auto"/>
              </w:rPr>
            </w:pPr>
            <w:r>
              <w:rPr>
                <w:rFonts w:hint="eastAsia" w:ascii="宋体" w:hAnsi="宋体"/>
                <w:color w:val="auto"/>
              </w:rPr>
              <w:t>或滑套</w:t>
            </w:r>
          </w:p>
        </w:tc>
        <w:tc>
          <w:tcPr>
            <w:tcW w:w="3525" w:type="dxa"/>
            <w:gridSpan w:val="4"/>
            <w:noWrap w:val="0"/>
            <w:vAlign w:val="center"/>
          </w:tcPr>
          <w:p>
            <w:pPr>
              <w:rPr>
                <w:rFonts w:hint="eastAsia" w:ascii="宋体" w:hAnsi="宋体"/>
                <w:color w:val="auto"/>
              </w:rPr>
            </w:pPr>
            <w:r>
              <w:rPr>
                <w:rFonts w:hint="eastAsia" w:ascii="宋体" w:hAnsi="宋体"/>
                <w:color w:val="auto"/>
              </w:rPr>
              <w:t>顶升套架导向滚轮应转动灵活，导向滚轮(滑套)应齐全，安装位置正确，其与塔身标准节主肢(导轨)的径向间隙应为2～5mm。</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right"/>
        </w:trPr>
        <w:tc>
          <w:tcPr>
            <w:tcW w:w="534" w:type="dxa"/>
            <w:noWrap w:val="0"/>
            <w:vAlign w:val="center"/>
          </w:tcPr>
          <w:p>
            <w:pPr>
              <w:jc w:val="center"/>
              <w:rPr>
                <w:rFonts w:hint="eastAsia" w:ascii="宋体" w:hAnsi="宋体"/>
                <w:color w:val="auto"/>
              </w:rPr>
            </w:pPr>
            <w:r>
              <w:rPr>
                <w:rFonts w:hint="eastAsia" w:ascii="宋体" w:hAnsi="宋体"/>
                <w:color w:val="auto"/>
              </w:rPr>
              <w:t>★42</w:t>
            </w:r>
          </w:p>
        </w:tc>
        <w:tc>
          <w:tcPr>
            <w:tcW w:w="678" w:type="dxa"/>
            <w:vMerge w:val="restart"/>
            <w:noWrap w:val="0"/>
            <w:vAlign w:val="center"/>
          </w:tcPr>
          <w:p>
            <w:pPr>
              <w:jc w:val="center"/>
              <w:rPr>
                <w:rFonts w:hint="eastAsia" w:ascii="宋体" w:hAnsi="宋体"/>
                <w:color w:val="auto"/>
              </w:rPr>
            </w:pPr>
            <w:r>
              <w:rPr>
                <w:rFonts w:hint="eastAsia" w:ascii="宋体" w:hAnsi="宋体"/>
                <w:color w:val="auto"/>
              </w:rPr>
              <w:t>2.1</w:t>
            </w:r>
          </w:p>
          <w:p>
            <w:pPr>
              <w:jc w:val="center"/>
              <w:rPr>
                <w:rFonts w:hint="eastAsia" w:ascii="宋体" w:hAnsi="宋体"/>
                <w:color w:val="auto"/>
              </w:rPr>
            </w:pPr>
            <w:r>
              <w:rPr>
                <w:rFonts w:hint="eastAsia" w:ascii="宋体" w:hAnsi="宋体"/>
                <w:color w:val="auto"/>
              </w:rPr>
              <w:t>作业环境</w:t>
            </w:r>
          </w:p>
        </w:tc>
        <w:tc>
          <w:tcPr>
            <w:tcW w:w="915" w:type="dxa"/>
            <w:noWrap w:val="0"/>
            <w:vAlign w:val="center"/>
          </w:tcPr>
          <w:p>
            <w:pPr>
              <w:jc w:val="center"/>
              <w:rPr>
                <w:rFonts w:hint="eastAsia" w:ascii="宋体" w:hAnsi="宋体"/>
                <w:color w:val="auto"/>
              </w:rPr>
            </w:pPr>
            <w:r>
              <w:rPr>
                <w:rFonts w:hint="eastAsia" w:ascii="宋体" w:hAnsi="宋体"/>
                <w:color w:val="auto"/>
              </w:rPr>
              <w:t>2.1.1</w:t>
            </w:r>
          </w:p>
          <w:p>
            <w:pPr>
              <w:spacing w:line="260" w:lineRule="exact"/>
              <w:jc w:val="center"/>
              <w:rPr>
                <w:rFonts w:hint="eastAsia" w:ascii="宋体" w:hAnsi="宋体"/>
                <w:color w:val="auto"/>
                <w:spacing w:val="-20"/>
              </w:rPr>
            </w:pPr>
            <w:r>
              <w:rPr>
                <w:rFonts w:hint="eastAsia" w:ascii="宋体" w:hAnsi="宋体"/>
                <w:color w:val="auto"/>
                <w:spacing w:val="-20"/>
                <w:szCs w:val="21"/>
              </w:rPr>
              <w:t>与障碍物安全距离</w:t>
            </w:r>
          </w:p>
        </w:tc>
        <w:tc>
          <w:tcPr>
            <w:tcW w:w="3525" w:type="dxa"/>
            <w:gridSpan w:val="4"/>
            <w:noWrap w:val="0"/>
            <w:vAlign w:val="center"/>
          </w:tcPr>
          <w:p>
            <w:pPr>
              <w:rPr>
                <w:rFonts w:hint="eastAsia" w:ascii="宋体" w:hAnsi="宋体"/>
                <w:color w:val="auto"/>
              </w:rPr>
            </w:pPr>
            <w:r>
              <w:rPr>
                <w:rFonts w:hint="eastAsia" w:ascii="宋体" w:hAnsi="宋体"/>
                <w:color w:val="auto"/>
              </w:rPr>
              <w:t>塔机的尾部与周围构筑物及外围施工设施之间的安全距离应</w:t>
            </w:r>
            <w:r>
              <w:rPr>
                <w:rFonts w:hint="eastAsia" w:ascii="宋体" w:hAnsi="宋体"/>
                <w:color w:val="auto"/>
                <w:szCs w:val="21"/>
              </w:rPr>
              <w:t>≥</w:t>
            </w:r>
            <w:r>
              <w:rPr>
                <w:rFonts w:hint="eastAsia" w:ascii="宋体" w:hAnsi="宋体"/>
                <w:color w:val="auto"/>
              </w:rPr>
              <w:t>0.6m。在非工作状态下，塔机的回转部分应能在360°范围内无障碍地自由旋转。</w:t>
            </w:r>
          </w:p>
        </w:tc>
        <w:tc>
          <w:tcPr>
            <w:tcW w:w="1200" w:type="dxa"/>
            <w:noWrap w:val="0"/>
            <w:vAlign w:val="center"/>
          </w:tcPr>
          <w:p>
            <w:pPr>
              <w:jc w:val="center"/>
              <w:rPr>
                <w:rFonts w:ascii="宋体" w:hAnsi="宋体"/>
                <w:color w:val="auto"/>
              </w:rPr>
            </w:pPr>
            <w:r>
              <w:rPr>
                <w:rFonts w:hint="eastAsia" w:ascii="宋体" w:hAnsi="宋体"/>
                <w:color w:val="auto"/>
              </w:rPr>
              <w:t>无法360</w:t>
            </w:r>
            <w:r>
              <w:rPr>
                <w:rFonts w:hint="eastAsia" w:ascii="宋体" w:hAnsi="宋体"/>
                <w:color w:val="auto"/>
                <w:vertAlign w:val="superscript"/>
              </w:rPr>
              <w:t>0</w:t>
            </w:r>
            <w:r>
              <w:rPr>
                <w:rFonts w:hint="eastAsia" w:ascii="宋体" w:hAnsi="宋体"/>
                <w:color w:val="auto"/>
              </w:rPr>
              <w:t>旋转，不能整改的</w:t>
            </w:r>
          </w:p>
        </w:tc>
        <w:tc>
          <w:tcPr>
            <w:tcW w:w="1095" w:type="dxa"/>
            <w:noWrap w:val="0"/>
            <w:vAlign w:val="center"/>
          </w:tcPr>
          <w:p>
            <w:pPr>
              <w:jc w:val="center"/>
              <w:rPr>
                <w:rFonts w:ascii="宋体" w:hAnsi="宋体"/>
                <w:color w:val="auto"/>
              </w:rPr>
            </w:pPr>
            <w:r>
              <w:rPr>
                <w:rFonts w:hint="eastAsia" w:ascii="宋体" w:hAnsi="宋体"/>
                <w:color w:val="auto"/>
              </w:rPr>
              <w:t>无法360</w:t>
            </w:r>
            <w:r>
              <w:rPr>
                <w:rFonts w:hint="eastAsia" w:ascii="宋体" w:hAnsi="宋体"/>
                <w:color w:val="auto"/>
                <w:vertAlign w:val="superscript"/>
              </w:rPr>
              <w:t>0</w:t>
            </w:r>
            <w:r>
              <w:rPr>
                <w:rFonts w:hint="eastAsia" w:ascii="宋体" w:hAnsi="宋体"/>
                <w:color w:val="auto"/>
              </w:rPr>
              <w:t>旋转，能整改的</w:t>
            </w:r>
          </w:p>
        </w:tc>
        <w:tc>
          <w:tcPr>
            <w:tcW w:w="1290" w:type="dxa"/>
            <w:noWrap w:val="0"/>
            <w:vAlign w:val="center"/>
          </w:tcPr>
          <w:p>
            <w:pPr>
              <w:jc w:val="center"/>
              <w:rPr>
                <w:rFonts w:ascii="宋体" w:hAnsi="宋体"/>
                <w:color w:val="auto"/>
              </w:rPr>
            </w:pPr>
            <w:r>
              <w:rPr>
                <w:rFonts w:hint="eastAsia" w:ascii="宋体" w:hAnsi="宋体"/>
                <w:color w:val="auto"/>
              </w:rPr>
              <w:t>可以360</w:t>
            </w:r>
            <w:r>
              <w:rPr>
                <w:rFonts w:hint="eastAsia" w:ascii="宋体" w:hAnsi="宋体"/>
                <w:color w:val="auto"/>
                <w:vertAlign w:val="superscript"/>
              </w:rPr>
              <w:t>0</w:t>
            </w:r>
            <w:r>
              <w:rPr>
                <w:rFonts w:hint="eastAsia" w:ascii="宋体" w:hAnsi="宋体"/>
                <w:color w:val="auto"/>
              </w:rPr>
              <w:t>旋转，安全距离不 足0.6m，能整改的</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right"/>
        </w:trPr>
        <w:tc>
          <w:tcPr>
            <w:tcW w:w="534" w:type="dxa"/>
            <w:noWrap w:val="0"/>
            <w:vAlign w:val="center"/>
          </w:tcPr>
          <w:p>
            <w:pPr>
              <w:jc w:val="center"/>
              <w:rPr>
                <w:rFonts w:hint="eastAsia" w:ascii="宋体" w:hAnsi="宋体"/>
                <w:color w:val="auto"/>
              </w:rPr>
            </w:pPr>
            <w:r>
              <w:rPr>
                <w:rFonts w:hint="eastAsia" w:ascii="宋体" w:hAnsi="宋体"/>
                <w:color w:val="auto"/>
              </w:rPr>
              <w:t>★43</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2.1.2</w:t>
            </w:r>
          </w:p>
          <w:p>
            <w:pPr>
              <w:jc w:val="center"/>
              <w:rPr>
                <w:rFonts w:hint="eastAsia" w:ascii="宋体" w:hAnsi="宋体"/>
                <w:color w:val="auto"/>
                <w:spacing w:val="-20"/>
              </w:rPr>
            </w:pPr>
            <w:r>
              <w:rPr>
                <w:rFonts w:hint="eastAsia" w:ascii="宋体" w:hAnsi="宋体"/>
                <w:color w:val="auto"/>
                <w:spacing w:val="-20"/>
                <w:szCs w:val="21"/>
              </w:rPr>
              <w:t>两塔机间架设距离</w:t>
            </w:r>
          </w:p>
        </w:tc>
        <w:tc>
          <w:tcPr>
            <w:tcW w:w="3525" w:type="dxa"/>
            <w:gridSpan w:val="4"/>
            <w:noWrap w:val="0"/>
            <w:vAlign w:val="center"/>
          </w:tcPr>
          <w:p>
            <w:pPr>
              <w:rPr>
                <w:rFonts w:hint="eastAsia" w:ascii="宋体" w:hAnsi="宋体"/>
                <w:color w:val="auto"/>
              </w:rPr>
            </w:pPr>
            <w:r>
              <w:rPr>
                <w:rFonts w:hint="eastAsia" w:ascii="宋体" w:hAnsi="宋体"/>
                <w:color w:val="auto"/>
                <w:szCs w:val="21"/>
              </w:rPr>
              <w:t>低位塔机的臂架端部与另一台塔机塔身之间的水平距离应≥2m；高位塔机的最低位置部件与低位塔机中处于最高位置部件之间的垂直距离应≥2m</w:t>
            </w:r>
            <w:r>
              <w:rPr>
                <w:rFonts w:hint="eastAsia" w:ascii="宋体" w:hAnsi="宋体"/>
                <w:color w:val="auto"/>
              </w:rPr>
              <w:t>。</w:t>
            </w:r>
          </w:p>
        </w:tc>
        <w:tc>
          <w:tcPr>
            <w:tcW w:w="1200" w:type="dxa"/>
            <w:tcBorders>
              <w:bottom w:val="single" w:color="auto" w:sz="4" w:space="0"/>
            </w:tcBorders>
            <w:noWrap w:val="0"/>
            <w:vAlign w:val="center"/>
          </w:tcPr>
          <w:p>
            <w:pPr>
              <w:jc w:val="center"/>
              <w:rPr>
                <w:rFonts w:ascii="宋体" w:hAnsi="宋体"/>
                <w:color w:val="auto"/>
              </w:rPr>
            </w:pPr>
            <w:r>
              <w:rPr>
                <w:rFonts w:hint="eastAsia" w:ascii="宋体" w:hAnsi="宋体"/>
                <w:color w:val="auto"/>
              </w:rPr>
              <w:t>安全距离不足2m，起重臂或者平衡臂存在相互碰撞的，无法整改的</w:t>
            </w:r>
          </w:p>
        </w:tc>
        <w:tc>
          <w:tcPr>
            <w:tcW w:w="1095" w:type="dxa"/>
            <w:noWrap w:val="0"/>
            <w:vAlign w:val="center"/>
          </w:tcPr>
          <w:p>
            <w:pPr>
              <w:jc w:val="center"/>
              <w:rPr>
                <w:rFonts w:hint="eastAsia" w:ascii="宋体" w:hAnsi="宋体"/>
                <w:color w:val="auto"/>
              </w:rPr>
            </w:pPr>
            <w:r>
              <w:rPr>
                <w:rFonts w:hint="eastAsia" w:ascii="宋体" w:hAnsi="宋体"/>
                <w:color w:val="auto"/>
              </w:rPr>
              <w:t>安全距离不足2m，起重臂或者平衡臂存在相互碰撞的，可以整改的</w:t>
            </w:r>
          </w:p>
        </w:tc>
        <w:tc>
          <w:tcPr>
            <w:tcW w:w="1290" w:type="dxa"/>
            <w:noWrap w:val="0"/>
            <w:vAlign w:val="center"/>
          </w:tcPr>
          <w:p>
            <w:pPr>
              <w:jc w:val="center"/>
              <w:rPr>
                <w:rFonts w:ascii="宋体" w:hAnsi="宋体"/>
                <w:color w:val="auto"/>
              </w:rPr>
            </w:pPr>
            <w:r>
              <w:rPr>
                <w:rFonts w:hint="eastAsia" w:ascii="宋体" w:hAnsi="宋体"/>
                <w:color w:val="auto"/>
              </w:rPr>
              <w:t>安全距离不足2m，起重臂或者平衡臂不存在相互碰撞的，可以整改的</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right"/>
        </w:trPr>
        <w:tc>
          <w:tcPr>
            <w:tcW w:w="534" w:type="dxa"/>
            <w:vMerge w:val="restart"/>
            <w:noWrap w:val="0"/>
            <w:vAlign w:val="center"/>
          </w:tcPr>
          <w:p>
            <w:pPr>
              <w:jc w:val="center"/>
              <w:rPr>
                <w:rFonts w:hint="eastAsia" w:ascii="宋体" w:hAnsi="宋体"/>
                <w:color w:val="auto"/>
              </w:rPr>
            </w:pPr>
            <w:r>
              <w:rPr>
                <w:rFonts w:hint="eastAsia" w:ascii="宋体" w:hAnsi="宋体"/>
                <w:color w:val="auto"/>
              </w:rPr>
              <w:t>★</w:t>
            </w:r>
          </w:p>
          <w:p>
            <w:pPr>
              <w:jc w:val="center"/>
              <w:rPr>
                <w:rFonts w:hint="eastAsia" w:ascii="宋体" w:hAnsi="宋体"/>
                <w:color w:val="auto"/>
              </w:rPr>
            </w:pPr>
            <w:r>
              <w:rPr>
                <w:rFonts w:hint="eastAsia" w:ascii="宋体" w:hAnsi="宋体"/>
                <w:color w:val="auto"/>
              </w:rPr>
              <w:t>44</w:t>
            </w:r>
          </w:p>
        </w:tc>
        <w:tc>
          <w:tcPr>
            <w:tcW w:w="678" w:type="dxa"/>
            <w:vMerge w:val="continue"/>
            <w:noWrap w:val="0"/>
            <w:vAlign w:val="center"/>
          </w:tcPr>
          <w:p>
            <w:pPr>
              <w:jc w:val="center"/>
              <w:rPr>
                <w:rFonts w:hint="eastAsia" w:ascii="宋体" w:hAnsi="宋体"/>
                <w:color w:val="auto"/>
              </w:rPr>
            </w:pPr>
          </w:p>
        </w:tc>
        <w:tc>
          <w:tcPr>
            <w:tcW w:w="915" w:type="dxa"/>
            <w:vMerge w:val="restart"/>
            <w:noWrap w:val="0"/>
            <w:vAlign w:val="center"/>
          </w:tcPr>
          <w:p>
            <w:pPr>
              <w:jc w:val="center"/>
              <w:rPr>
                <w:rFonts w:hint="eastAsia" w:ascii="宋体" w:hAnsi="宋体"/>
                <w:color w:val="auto"/>
              </w:rPr>
            </w:pPr>
            <w:r>
              <w:rPr>
                <w:rFonts w:hint="eastAsia" w:ascii="宋体" w:hAnsi="宋体"/>
                <w:color w:val="auto"/>
              </w:rPr>
              <w:t>2.1.3</w:t>
            </w:r>
          </w:p>
          <w:p>
            <w:pPr>
              <w:jc w:val="center"/>
              <w:rPr>
                <w:rFonts w:hint="eastAsia" w:ascii="宋体" w:hAnsi="宋体"/>
                <w:color w:val="auto"/>
              </w:rPr>
            </w:pPr>
            <w:r>
              <w:rPr>
                <w:rFonts w:hint="eastAsia" w:ascii="宋体" w:hAnsi="宋体"/>
                <w:color w:val="auto"/>
                <w:spacing w:val="-20"/>
                <w:szCs w:val="21"/>
              </w:rPr>
              <w:t>与输电线安全距离</w:t>
            </w:r>
          </w:p>
        </w:tc>
        <w:tc>
          <w:tcPr>
            <w:tcW w:w="991" w:type="dxa"/>
            <w:vMerge w:val="restart"/>
            <w:noWrap w:val="0"/>
            <w:vAlign w:val="center"/>
          </w:tcPr>
          <w:p>
            <w:pPr>
              <w:rPr>
                <w:rFonts w:hint="eastAsia" w:ascii="宋体" w:hAnsi="宋体"/>
                <w:color w:val="auto"/>
                <w:spacing w:val="-4"/>
                <w:szCs w:val="21"/>
              </w:rPr>
            </w:pPr>
            <w:r>
              <w:rPr>
                <w:rFonts w:hint="eastAsia" w:ascii="宋体" w:hAnsi="宋体"/>
                <w:color w:val="auto"/>
                <w:spacing w:val="-4"/>
                <w:szCs w:val="21"/>
              </w:rPr>
              <w:t>塔机任何部位与架空输电线的距离应符合表中的规定，否则必须采取有效安全防护措施。</w:t>
            </w:r>
          </w:p>
        </w:tc>
        <w:tc>
          <w:tcPr>
            <w:tcW w:w="930" w:type="dxa"/>
            <w:vMerge w:val="restart"/>
            <w:noWrap w:val="0"/>
            <w:vAlign w:val="center"/>
          </w:tcPr>
          <w:p>
            <w:pPr>
              <w:jc w:val="center"/>
              <w:rPr>
                <w:rFonts w:hint="eastAsia" w:ascii="宋体" w:hAnsi="宋体"/>
                <w:color w:val="auto"/>
              </w:rPr>
            </w:pPr>
            <w:r>
              <w:rPr>
                <w:rFonts w:hint="eastAsia" w:ascii="宋体" w:hAnsi="宋体"/>
                <w:color w:val="auto"/>
              </w:rPr>
              <w:t>线路电压(kV)</w:t>
            </w:r>
          </w:p>
        </w:tc>
        <w:tc>
          <w:tcPr>
            <w:tcW w:w="1604" w:type="dxa"/>
            <w:gridSpan w:val="2"/>
            <w:noWrap w:val="0"/>
            <w:vAlign w:val="center"/>
          </w:tcPr>
          <w:p>
            <w:pPr>
              <w:jc w:val="center"/>
              <w:rPr>
                <w:rFonts w:hint="eastAsia" w:ascii="宋体" w:hAnsi="宋体"/>
                <w:color w:val="auto"/>
              </w:rPr>
            </w:pPr>
            <w:r>
              <w:rPr>
                <w:rFonts w:hint="eastAsia" w:ascii="宋体" w:hAnsi="宋体"/>
                <w:color w:val="auto"/>
              </w:rPr>
              <w:t>安全距离(m)</w:t>
            </w:r>
          </w:p>
        </w:tc>
        <w:tc>
          <w:tcPr>
            <w:tcW w:w="1200" w:type="dxa"/>
            <w:vMerge w:val="restart"/>
            <w:noWrap w:val="0"/>
            <w:vAlign w:val="center"/>
          </w:tcPr>
          <w:p>
            <w:pPr>
              <w:jc w:val="center"/>
              <w:rPr>
                <w:rFonts w:hint="eastAsia" w:ascii="宋体" w:hAnsi="宋体"/>
                <w:color w:val="auto"/>
              </w:rPr>
            </w:pPr>
            <w:r>
              <w:rPr>
                <w:rFonts w:hint="eastAsia" w:ascii="宋体" w:hAnsi="宋体"/>
                <w:color w:val="auto"/>
              </w:rPr>
              <w:t>起重臂跨越高压线幅度大，不能做好防护措施，不能整改</w:t>
            </w:r>
          </w:p>
        </w:tc>
        <w:tc>
          <w:tcPr>
            <w:tcW w:w="1095" w:type="dxa"/>
            <w:vMerge w:val="restart"/>
            <w:noWrap w:val="0"/>
            <w:vAlign w:val="center"/>
          </w:tcPr>
          <w:p>
            <w:pPr>
              <w:jc w:val="center"/>
              <w:rPr>
                <w:rFonts w:hint="eastAsia" w:ascii="宋体" w:hAnsi="宋体"/>
                <w:color w:val="auto"/>
              </w:rPr>
            </w:pPr>
            <w:r>
              <w:rPr>
                <w:rFonts w:hint="eastAsia" w:ascii="宋体" w:hAnsi="宋体"/>
                <w:color w:val="auto"/>
              </w:rPr>
              <w:t>跨越高压线幅度小，能整改（高压线搭设防护棚、增加高压线防碰撞系统，增加回转制动电源，增加供塔机运行的动力电源—柴油发电机。以上内容需编制专项方案并专家论证通过，现场要严格按方案施工）</w:t>
            </w:r>
          </w:p>
        </w:tc>
        <w:tc>
          <w:tcPr>
            <w:tcW w:w="1290" w:type="dxa"/>
            <w:vMerge w:val="restart"/>
            <w:noWrap w:val="0"/>
            <w:vAlign w:val="center"/>
          </w:tcPr>
          <w:p>
            <w:pPr>
              <w:jc w:val="center"/>
              <w:rPr>
                <w:rFonts w:ascii="宋体" w:hAnsi="宋体"/>
                <w:color w:val="auto"/>
              </w:rPr>
            </w:pPr>
            <w:r>
              <w:rPr>
                <w:rFonts w:hint="eastAsia" w:ascii="宋体" w:hAnsi="宋体"/>
                <w:color w:val="auto"/>
              </w:rPr>
              <w:t>现场已采取有效防护措施，但检查、交底、验收记录不完善的。</w:t>
            </w:r>
          </w:p>
        </w:tc>
        <w:tc>
          <w:tcPr>
            <w:tcW w:w="1014" w:type="dxa"/>
            <w:vMerge w:val="restart"/>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991" w:type="dxa"/>
            <w:vMerge w:val="continue"/>
            <w:noWrap w:val="0"/>
            <w:vAlign w:val="center"/>
          </w:tcPr>
          <w:p>
            <w:pPr>
              <w:rPr>
                <w:rFonts w:hint="eastAsia" w:ascii="宋体" w:hAnsi="宋体"/>
                <w:color w:val="auto"/>
              </w:rPr>
            </w:pPr>
          </w:p>
        </w:tc>
        <w:tc>
          <w:tcPr>
            <w:tcW w:w="930" w:type="dxa"/>
            <w:vMerge w:val="continue"/>
            <w:noWrap w:val="0"/>
            <w:vAlign w:val="center"/>
          </w:tcPr>
          <w:p>
            <w:pPr>
              <w:rPr>
                <w:rFonts w:hint="eastAsia" w:ascii="宋体" w:hAnsi="宋体"/>
                <w:color w:val="auto"/>
              </w:rPr>
            </w:pPr>
          </w:p>
        </w:tc>
        <w:tc>
          <w:tcPr>
            <w:tcW w:w="825" w:type="dxa"/>
            <w:noWrap w:val="0"/>
            <w:vAlign w:val="center"/>
          </w:tcPr>
          <w:p>
            <w:pPr>
              <w:jc w:val="center"/>
              <w:rPr>
                <w:rFonts w:hint="eastAsia" w:ascii="宋体" w:hAnsi="宋体"/>
                <w:color w:val="auto"/>
              </w:rPr>
            </w:pPr>
            <w:r>
              <w:rPr>
                <w:rFonts w:hint="eastAsia" w:ascii="宋体" w:hAnsi="宋体"/>
                <w:color w:val="auto"/>
              </w:rPr>
              <w:t>垂直方向</w:t>
            </w:r>
          </w:p>
        </w:tc>
        <w:tc>
          <w:tcPr>
            <w:tcW w:w="779" w:type="dxa"/>
            <w:noWrap w:val="0"/>
            <w:vAlign w:val="center"/>
          </w:tcPr>
          <w:p>
            <w:pPr>
              <w:jc w:val="center"/>
              <w:rPr>
                <w:rFonts w:hint="eastAsia" w:ascii="宋体" w:hAnsi="宋体"/>
                <w:color w:val="auto"/>
              </w:rPr>
            </w:pPr>
            <w:r>
              <w:rPr>
                <w:rFonts w:hint="eastAsia" w:ascii="宋体" w:hAnsi="宋体"/>
                <w:color w:val="auto"/>
              </w:rPr>
              <w:t>水平方向</w:t>
            </w:r>
          </w:p>
        </w:tc>
        <w:tc>
          <w:tcPr>
            <w:tcW w:w="1200" w:type="dxa"/>
            <w:vMerge w:val="continue"/>
            <w:noWrap w:val="0"/>
            <w:vAlign w:val="center"/>
          </w:tcPr>
          <w:p>
            <w:pPr>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vMerge w:val="continue"/>
            <w:noWrap w:val="0"/>
            <w:vAlign w:val="center"/>
          </w:tcPr>
          <w:p>
            <w:pPr>
              <w:jc w:val="center"/>
              <w:rPr>
                <w:rFonts w:hint="eastAsia" w:ascii="宋体" w:hAnsi="宋体"/>
                <w:color w:val="auto"/>
              </w:rPr>
            </w:pPr>
          </w:p>
        </w:tc>
        <w:tc>
          <w:tcPr>
            <w:tcW w:w="1014" w:type="dxa"/>
            <w:vMerge w:val="continue"/>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991" w:type="dxa"/>
            <w:vMerge w:val="continue"/>
            <w:noWrap w:val="0"/>
            <w:vAlign w:val="center"/>
          </w:tcPr>
          <w:p>
            <w:pPr>
              <w:rPr>
                <w:rFonts w:hint="eastAsia" w:ascii="宋体" w:hAnsi="宋体"/>
                <w:color w:val="auto"/>
              </w:rPr>
            </w:pPr>
          </w:p>
        </w:tc>
        <w:tc>
          <w:tcPr>
            <w:tcW w:w="930" w:type="dxa"/>
            <w:noWrap w:val="0"/>
            <w:vAlign w:val="center"/>
          </w:tcPr>
          <w:p>
            <w:pPr>
              <w:jc w:val="center"/>
              <w:rPr>
                <w:rFonts w:hint="eastAsia" w:ascii="宋体" w:hAnsi="宋体"/>
                <w:color w:val="auto"/>
              </w:rPr>
            </w:pPr>
            <w:r>
              <w:rPr>
                <w:rFonts w:hint="eastAsia" w:ascii="宋体" w:hAnsi="宋体"/>
                <w:color w:val="auto"/>
              </w:rPr>
              <w:t>＜1</w:t>
            </w:r>
          </w:p>
        </w:tc>
        <w:tc>
          <w:tcPr>
            <w:tcW w:w="825" w:type="dxa"/>
            <w:noWrap w:val="0"/>
            <w:vAlign w:val="center"/>
          </w:tcPr>
          <w:p>
            <w:pPr>
              <w:jc w:val="center"/>
              <w:rPr>
                <w:rFonts w:hint="eastAsia" w:ascii="宋体" w:hAnsi="宋体"/>
                <w:color w:val="auto"/>
              </w:rPr>
            </w:pPr>
            <w:r>
              <w:rPr>
                <w:rFonts w:hint="eastAsia" w:ascii="宋体" w:hAnsi="宋体"/>
                <w:color w:val="auto"/>
              </w:rPr>
              <w:t>≥1.5</w:t>
            </w:r>
          </w:p>
        </w:tc>
        <w:tc>
          <w:tcPr>
            <w:tcW w:w="779" w:type="dxa"/>
            <w:noWrap w:val="0"/>
            <w:vAlign w:val="center"/>
          </w:tcPr>
          <w:p>
            <w:pPr>
              <w:jc w:val="center"/>
              <w:rPr>
                <w:rFonts w:hint="eastAsia" w:ascii="宋体" w:hAnsi="宋体"/>
                <w:color w:val="auto"/>
              </w:rPr>
            </w:pPr>
            <w:r>
              <w:rPr>
                <w:rFonts w:hint="eastAsia" w:ascii="宋体" w:hAnsi="宋体"/>
                <w:color w:val="auto"/>
              </w:rPr>
              <w:t>≥1.0</w:t>
            </w:r>
          </w:p>
        </w:tc>
        <w:tc>
          <w:tcPr>
            <w:tcW w:w="1200" w:type="dxa"/>
            <w:vMerge w:val="continue"/>
            <w:noWrap w:val="0"/>
            <w:vAlign w:val="center"/>
          </w:tcPr>
          <w:p>
            <w:pPr>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vMerge w:val="continue"/>
            <w:noWrap w:val="0"/>
            <w:vAlign w:val="center"/>
          </w:tcPr>
          <w:p>
            <w:pPr>
              <w:jc w:val="center"/>
              <w:rPr>
                <w:rFonts w:hint="eastAsia" w:ascii="宋体" w:hAnsi="宋体"/>
                <w:color w:val="auto"/>
              </w:rPr>
            </w:pPr>
          </w:p>
        </w:tc>
        <w:tc>
          <w:tcPr>
            <w:tcW w:w="1014" w:type="dxa"/>
            <w:vMerge w:val="continue"/>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991" w:type="dxa"/>
            <w:vMerge w:val="continue"/>
            <w:noWrap w:val="0"/>
            <w:vAlign w:val="center"/>
          </w:tcPr>
          <w:p>
            <w:pPr>
              <w:rPr>
                <w:rFonts w:hint="eastAsia" w:ascii="宋体" w:hAnsi="宋体"/>
                <w:color w:val="auto"/>
              </w:rPr>
            </w:pPr>
          </w:p>
        </w:tc>
        <w:tc>
          <w:tcPr>
            <w:tcW w:w="930" w:type="dxa"/>
            <w:noWrap w:val="0"/>
            <w:vAlign w:val="center"/>
          </w:tcPr>
          <w:p>
            <w:pPr>
              <w:jc w:val="center"/>
              <w:rPr>
                <w:rFonts w:hint="eastAsia" w:ascii="宋体" w:hAnsi="宋体"/>
                <w:color w:val="auto"/>
              </w:rPr>
            </w:pPr>
            <w:r>
              <w:rPr>
                <w:rFonts w:hint="eastAsia" w:ascii="宋体" w:hAnsi="宋体"/>
                <w:color w:val="auto"/>
              </w:rPr>
              <w:t>1～15</w:t>
            </w:r>
          </w:p>
        </w:tc>
        <w:tc>
          <w:tcPr>
            <w:tcW w:w="825" w:type="dxa"/>
            <w:noWrap w:val="0"/>
            <w:vAlign w:val="center"/>
          </w:tcPr>
          <w:p>
            <w:pPr>
              <w:jc w:val="center"/>
              <w:rPr>
                <w:rFonts w:hint="eastAsia" w:ascii="宋体" w:hAnsi="宋体"/>
                <w:color w:val="auto"/>
              </w:rPr>
            </w:pPr>
            <w:r>
              <w:rPr>
                <w:rFonts w:hint="eastAsia" w:ascii="宋体" w:hAnsi="宋体"/>
                <w:color w:val="auto"/>
              </w:rPr>
              <w:t>≥3.0</w:t>
            </w:r>
          </w:p>
        </w:tc>
        <w:tc>
          <w:tcPr>
            <w:tcW w:w="779" w:type="dxa"/>
            <w:noWrap w:val="0"/>
            <w:vAlign w:val="center"/>
          </w:tcPr>
          <w:p>
            <w:pPr>
              <w:jc w:val="center"/>
              <w:rPr>
                <w:rFonts w:hint="eastAsia" w:ascii="宋体" w:hAnsi="宋体"/>
                <w:color w:val="auto"/>
              </w:rPr>
            </w:pPr>
            <w:r>
              <w:rPr>
                <w:rFonts w:hint="eastAsia" w:ascii="宋体" w:hAnsi="宋体"/>
                <w:color w:val="auto"/>
              </w:rPr>
              <w:t>≥1.5</w:t>
            </w:r>
          </w:p>
        </w:tc>
        <w:tc>
          <w:tcPr>
            <w:tcW w:w="1200" w:type="dxa"/>
            <w:vMerge w:val="continue"/>
            <w:noWrap w:val="0"/>
            <w:vAlign w:val="center"/>
          </w:tcPr>
          <w:p>
            <w:pPr>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vMerge w:val="continue"/>
            <w:noWrap w:val="0"/>
            <w:vAlign w:val="center"/>
          </w:tcPr>
          <w:p>
            <w:pPr>
              <w:jc w:val="center"/>
              <w:rPr>
                <w:rFonts w:hint="eastAsia" w:ascii="宋体" w:hAnsi="宋体"/>
                <w:color w:val="auto"/>
              </w:rPr>
            </w:pPr>
          </w:p>
        </w:tc>
        <w:tc>
          <w:tcPr>
            <w:tcW w:w="1014" w:type="dxa"/>
            <w:vMerge w:val="continue"/>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991" w:type="dxa"/>
            <w:vMerge w:val="continue"/>
            <w:noWrap w:val="0"/>
            <w:vAlign w:val="center"/>
          </w:tcPr>
          <w:p>
            <w:pPr>
              <w:rPr>
                <w:rFonts w:hint="eastAsia" w:ascii="宋体" w:hAnsi="宋体"/>
                <w:color w:val="auto"/>
              </w:rPr>
            </w:pPr>
          </w:p>
        </w:tc>
        <w:tc>
          <w:tcPr>
            <w:tcW w:w="930" w:type="dxa"/>
            <w:noWrap w:val="0"/>
            <w:vAlign w:val="center"/>
          </w:tcPr>
          <w:p>
            <w:pPr>
              <w:jc w:val="center"/>
              <w:rPr>
                <w:rFonts w:hint="eastAsia" w:ascii="宋体" w:hAnsi="宋体"/>
                <w:color w:val="auto"/>
              </w:rPr>
            </w:pPr>
            <w:r>
              <w:rPr>
                <w:rFonts w:hint="eastAsia" w:ascii="宋体" w:hAnsi="宋体"/>
                <w:color w:val="auto"/>
              </w:rPr>
              <w:t>20～40</w:t>
            </w:r>
          </w:p>
        </w:tc>
        <w:tc>
          <w:tcPr>
            <w:tcW w:w="825" w:type="dxa"/>
            <w:noWrap w:val="0"/>
            <w:vAlign w:val="center"/>
          </w:tcPr>
          <w:p>
            <w:pPr>
              <w:jc w:val="center"/>
              <w:rPr>
                <w:rFonts w:hint="eastAsia" w:ascii="宋体" w:hAnsi="宋体"/>
                <w:color w:val="auto"/>
              </w:rPr>
            </w:pPr>
            <w:r>
              <w:rPr>
                <w:rFonts w:hint="eastAsia" w:ascii="宋体" w:hAnsi="宋体"/>
                <w:color w:val="auto"/>
              </w:rPr>
              <w:t>≥4.0</w:t>
            </w:r>
          </w:p>
        </w:tc>
        <w:tc>
          <w:tcPr>
            <w:tcW w:w="779" w:type="dxa"/>
            <w:noWrap w:val="0"/>
            <w:vAlign w:val="center"/>
          </w:tcPr>
          <w:p>
            <w:pPr>
              <w:jc w:val="center"/>
              <w:rPr>
                <w:rFonts w:hint="eastAsia" w:ascii="宋体" w:hAnsi="宋体"/>
                <w:color w:val="auto"/>
              </w:rPr>
            </w:pPr>
            <w:r>
              <w:rPr>
                <w:rFonts w:hint="eastAsia" w:ascii="宋体" w:hAnsi="宋体"/>
                <w:color w:val="auto"/>
              </w:rPr>
              <w:t>≥2.0</w:t>
            </w:r>
          </w:p>
        </w:tc>
        <w:tc>
          <w:tcPr>
            <w:tcW w:w="1200" w:type="dxa"/>
            <w:vMerge w:val="continue"/>
            <w:noWrap w:val="0"/>
            <w:vAlign w:val="center"/>
          </w:tcPr>
          <w:p>
            <w:pPr>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vMerge w:val="continue"/>
            <w:noWrap w:val="0"/>
            <w:vAlign w:val="center"/>
          </w:tcPr>
          <w:p>
            <w:pPr>
              <w:jc w:val="center"/>
              <w:rPr>
                <w:rFonts w:hint="eastAsia" w:ascii="宋体" w:hAnsi="宋体"/>
                <w:color w:val="auto"/>
              </w:rPr>
            </w:pPr>
          </w:p>
        </w:tc>
        <w:tc>
          <w:tcPr>
            <w:tcW w:w="1014" w:type="dxa"/>
            <w:vMerge w:val="continue"/>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991" w:type="dxa"/>
            <w:vMerge w:val="continue"/>
            <w:noWrap w:val="0"/>
            <w:vAlign w:val="center"/>
          </w:tcPr>
          <w:p>
            <w:pPr>
              <w:rPr>
                <w:rFonts w:hint="eastAsia" w:ascii="宋体" w:hAnsi="宋体"/>
                <w:color w:val="auto"/>
              </w:rPr>
            </w:pPr>
          </w:p>
        </w:tc>
        <w:tc>
          <w:tcPr>
            <w:tcW w:w="930" w:type="dxa"/>
            <w:noWrap w:val="0"/>
            <w:vAlign w:val="center"/>
          </w:tcPr>
          <w:p>
            <w:pPr>
              <w:jc w:val="center"/>
              <w:rPr>
                <w:rFonts w:hint="eastAsia" w:ascii="宋体" w:hAnsi="宋体"/>
                <w:color w:val="auto"/>
                <w:spacing w:val="-10"/>
              </w:rPr>
            </w:pPr>
            <w:r>
              <w:rPr>
                <w:rFonts w:hint="eastAsia" w:ascii="宋体" w:hAnsi="宋体"/>
                <w:color w:val="auto"/>
                <w:spacing w:val="-10"/>
              </w:rPr>
              <w:t>60～110</w:t>
            </w:r>
          </w:p>
        </w:tc>
        <w:tc>
          <w:tcPr>
            <w:tcW w:w="825" w:type="dxa"/>
            <w:noWrap w:val="0"/>
            <w:vAlign w:val="center"/>
          </w:tcPr>
          <w:p>
            <w:pPr>
              <w:jc w:val="center"/>
              <w:rPr>
                <w:rFonts w:hint="eastAsia" w:ascii="宋体" w:hAnsi="宋体"/>
                <w:color w:val="auto"/>
              </w:rPr>
            </w:pPr>
            <w:r>
              <w:rPr>
                <w:rFonts w:hint="eastAsia" w:ascii="宋体" w:hAnsi="宋体"/>
                <w:color w:val="auto"/>
              </w:rPr>
              <w:t>≥5.0</w:t>
            </w:r>
          </w:p>
        </w:tc>
        <w:tc>
          <w:tcPr>
            <w:tcW w:w="779" w:type="dxa"/>
            <w:noWrap w:val="0"/>
            <w:vAlign w:val="center"/>
          </w:tcPr>
          <w:p>
            <w:pPr>
              <w:jc w:val="center"/>
              <w:rPr>
                <w:rFonts w:hint="eastAsia" w:ascii="宋体" w:hAnsi="宋体"/>
                <w:color w:val="auto"/>
              </w:rPr>
            </w:pPr>
            <w:r>
              <w:rPr>
                <w:rFonts w:hint="eastAsia" w:ascii="宋体" w:hAnsi="宋体"/>
                <w:color w:val="auto"/>
              </w:rPr>
              <w:t>≥4.0</w:t>
            </w:r>
          </w:p>
        </w:tc>
        <w:tc>
          <w:tcPr>
            <w:tcW w:w="1200" w:type="dxa"/>
            <w:vMerge w:val="continue"/>
            <w:noWrap w:val="0"/>
            <w:vAlign w:val="center"/>
          </w:tcPr>
          <w:p>
            <w:pPr>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vMerge w:val="continue"/>
            <w:noWrap w:val="0"/>
            <w:vAlign w:val="center"/>
          </w:tcPr>
          <w:p>
            <w:pPr>
              <w:jc w:val="center"/>
              <w:rPr>
                <w:rFonts w:hint="eastAsia" w:ascii="宋体" w:hAnsi="宋体"/>
                <w:color w:val="auto"/>
              </w:rPr>
            </w:pPr>
          </w:p>
        </w:tc>
        <w:tc>
          <w:tcPr>
            <w:tcW w:w="1014" w:type="dxa"/>
            <w:vMerge w:val="continue"/>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991" w:type="dxa"/>
            <w:vMerge w:val="continue"/>
            <w:noWrap w:val="0"/>
            <w:vAlign w:val="center"/>
          </w:tcPr>
          <w:p>
            <w:pPr>
              <w:rPr>
                <w:rFonts w:hint="eastAsia" w:ascii="宋体" w:hAnsi="宋体"/>
                <w:color w:val="auto"/>
              </w:rPr>
            </w:pPr>
          </w:p>
        </w:tc>
        <w:tc>
          <w:tcPr>
            <w:tcW w:w="930" w:type="dxa"/>
            <w:noWrap w:val="0"/>
            <w:vAlign w:val="center"/>
          </w:tcPr>
          <w:p>
            <w:pPr>
              <w:jc w:val="center"/>
              <w:rPr>
                <w:rFonts w:hint="eastAsia" w:ascii="宋体" w:hAnsi="宋体"/>
                <w:color w:val="auto"/>
              </w:rPr>
            </w:pPr>
            <w:r>
              <w:rPr>
                <w:rFonts w:hint="eastAsia" w:ascii="宋体" w:hAnsi="宋体"/>
                <w:color w:val="auto"/>
              </w:rPr>
              <w:t>＞220</w:t>
            </w:r>
          </w:p>
        </w:tc>
        <w:tc>
          <w:tcPr>
            <w:tcW w:w="825" w:type="dxa"/>
            <w:noWrap w:val="0"/>
            <w:vAlign w:val="center"/>
          </w:tcPr>
          <w:p>
            <w:pPr>
              <w:jc w:val="center"/>
              <w:rPr>
                <w:rFonts w:hint="eastAsia" w:ascii="宋体" w:hAnsi="宋体"/>
                <w:color w:val="auto"/>
              </w:rPr>
            </w:pPr>
            <w:r>
              <w:rPr>
                <w:rFonts w:hint="eastAsia" w:ascii="宋体" w:hAnsi="宋体"/>
                <w:color w:val="auto"/>
              </w:rPr>
              <w:t>≥6.0</w:t>
            </w:r>
          </w:p>
        </w:tc>
        <w:tc>
          <w:tcPr>
            <w:tcW w:w="779" w:type="dxa"/>
            <w:noWrap w:val="0"/>
            <w:vAlign w:val="center"/>
          </w:tcPr>
          <w:p>
            <w:pPr>
              <w:jc w:val="center"/>
              <w:rPr>
                <w:rFonts w:hint="eastAsia" w:ascii="宋体" w:hAnsi="宋体"/>
                <w:color w:val="auto"/>
              </w:rPr>
            </w:pPr>
            <w:r>
              <w:rPr>
                <w:rFonts w:hint="eastAsia" w:ascii="宋体" w:hAnsi="宋体"/>
                <w:color w:val="auto"/>
              </w:rPr>
              <w:t>≥6.0</w:t>
            </w:r>
          </w:p>
        </w:tc>
        <w:tc>
          <w:tcPr>
            <w:tcW w:w="1200" w:type="dxa"/>
            <w:vMerge w:val="continue"/>
            <w:noWrap w:val="0"/>
            <w:vAlign w:val="center"/>
          </w:tcPr>
          <w:p>
            <w:pPr>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vMerge w:val="continue"/>
            <w:noWrap w:val="0"/>
            <w:vAlign w:val="center"/>
          </w:tcPr>
          <w:p>
            <w:pPr>
              <w:jc w:val="center"/>
              <w:rPr>
                <w:rFonts w:hint="eastAsia" w:ascii="宋体" w:hAnsi="宋体"/>
                <w:color w:val="auto"/>
              </w:rPr>
            </w:pPr>
          </w:p>
        </w:tc>
        <w:tc>
          <w:tcPr>
            <w:tcW w:w="1014" w:type="dxa"/>
            <w:vMerge w:val="continue"/>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restart"/>
            <w:noWrap w:val="0"/>
            <w:vAlign w:val="center"/>
          </w:tcPr>
          <w:p>
            <w:pPr>
              <w:jc w:val="center"/>
              <w:rPr>
                <w:rFonts w:hint="eastAsia" w:ascii="宋体" w:hAnsi="宋体"/>
                <w:color w:val="auto"/>
              </w:rPr>
            </w:pPr>
            <w:r>
              <w:rPr>
                <w:rFonts w:hint="eastAsia" w:ascii="宋体" w:hAnsi="宋体"/>
                <w:color w:val="auto"/>
              </w:rPr>
              <w:t>45</w:t>
            </w:r>
          </w:p>
        </w:tc>
        <w:tc>
          <w:tcPr>
            <w:tcW w:w="678" w:type="dxa"/>
            <w:vMerge w:val="restart"/>
            <w:noWrap w:val="0"/>
            <w:vAlign w:val="center"/>
          </w:tcPr>
          <w:p>
            <w:pPr>
              <w:jc w:val="center"/>
              <w:rPr>
                <w:rFonts w:hint="eastAsia" w:ascii="宋体" w:hAnsi="宋体"/>
                <w:color w:val="auto"/>
              </w:rPr>
            </w:pPr>
            <w:r>
              <w:rPr>
                <w:rFonts w:hint="eastAsia" w:ascii="宋体" w:hAnsi="宋体"/>
                <w:color w:val="auto"/>
              </w:rPr>
              <w:t>2.2</w:t>
            </w:r>
          </w:p>
          <w:p>
            <w:pPr>
              <w:jc w:val="center"/>
              <w:rPr>
                <w:rFonts w:hint="eastAsia" w:ascii="宋体" w:hAnsi="宋体"/>
                <w:color w:val="auto"/>
              </w:rPr>
            </w:pPr>
            <w:r>
              <w:rPr>
                <w:rFonts w:hint="eastAsia" w:ascii="宋体" w:hAnsi="宋体"/>
                <w:color w:val="auto"/>
              </w:rPr>
              <w:t>基础轨道压重及配重</w:t>
            </w:r>
          </w:p>
        </w:tc>
        <w:tc>
          <w:tcPr>
            <w:tcW w:w="915" w:type="dxa"/>
            <w:vMerge w:val="restart"/>
            <w:noWrap w:val="0"/>
            <w:vAlign w:val="center"/>
          </w:tcPr>
          <w:p>
            <w:pPr>
              <w:jc w:val="center"/>
              <w:rPr>
                <w:rFonts w:hint="eastAsia" w:ascii="宋体" w:hAnsi="宋体"/>
                <w:color w:val="auto"/>
              </w:rPr>
            </w:pPr>
            <w:r>
              <w:rPr>
                <w:rFonts w:hint="eastAsia" w:ascii="宋体" w:hAnsi="宋体"/>
                <w:color w:val="auto"/>
              </w:rPr>
              <w:t>2.2.1</w:t>
            </w:r>
          </w:p>
          <w:p>
            <w:pPr>
              <w:jc w:val="center"/>
              <w:rPr>
                <w:rFonts w:hint="eastAsia" w:ascii="宋体" w:hAnsi="宋体"/>
                <w:color w:val="auto"/>
              </w:rPr>
            </w:pPr>
            <w:r>
              <w:rPr>
                <w:rFonts w:hint="eastAsia" w:ascii="宋体" w:hAnsi="宋体"/>
                <w:color w:val="auto"/>
              </w:rPr>
              <w:t>混凝土</w:t>
            </w:r>
            <w:r>
              <w:rPr>
                <w:rFonts w:hint="eastAsia" w:ascii="宋体" w:hAnsi="宋体"/>
                <w:color w:val="auto"/>
                <w:spacing w:val="-20"/>
                <w:szCs w:val="21"/>
              </w:rPr>
              <w:t>基础方案</w:t>
            </w:r>
          </w:p>
        </w:tc>
        <w:tc>
          <w:tcPr>
            <w:tcW w:w="3525" w:type="dxa"/>
            <w:gridSpan w:val="4"/>
            <w:noWrap w:val="0"/>
            <w:vAlign w:val="center"/>
          </w:tcPr>
          <w:p>
            <w:pPr>
              <w:rPr>
                <w:rFonts w:hint="eastAsia" w:ascii="宋体" w:hAnsi="宋体"/>
                <w:color w:val="auto"/>
              </w:rPr>
            </w:pPr>
            <w:r>
              <w:rPr>
                <w:rFonts w:hint="eastAsia" w:ascii="宋体" w:hAnsi="宋体"/>
                <w:color w:val="auto"/>
              </w:rPr>
              <w:t>使用单位应根据塔机原制造商提供的载荷参数设计制造混凝土基础，混凝土基础应由专业工程师设计，并形成完整的方案。</w:t>
            </w:r>
          </w:p>
        </w:tc>
        <w:tc>
          <w:tcPr>
            <w:tcW w:w="1200" w:type="dxa"/>
            <w:noWrap w:val="0"/>
            <w:vAlign w:val="center"/>
          </w:tcPr>
          <w:p>
            <w:pPr>
              <w:jc w:val="center"/>
              <w:rPr>
                <w:rFonts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rPr>
            </w:pPr>
            <w:r>
              <w:rPr>
                <w:rFonts w:hint="eastAsia" w:ascii="宋体" w:hAnsi="宋体"/>
                <w:color w:val="auto"/>
              </w:rPr>
              <w:t>若采用塔机原制造商推荐的混凝土基础，固定支腿、预埋节和地脚螺栓应按原制造商规定的方法使用。</w:t>
            </w:r>
          </w:p>
        </w:tc>
        <w:tc>
          <w:tcPr>
            <w:tcW w:w="1200" w:type="dxa"/>
            <w:noWrap w:val="0"/>
            <w:vAlign w:val="center"/>
          </w:tcPr>
          <w:p>
            <w:pPr>
              <w:rPr>
                <w:rFonts w:ascii="宋体" w:hAnsi="宋体"/>
                <w:color w:val="auto"/>
              </w:rPr>
            </w:pPr>
          </w:p>
        </w:tc>
        <w:tc>
          <w:tcPr>
            <w:tcW w:w="1095" w:type="dxa"/>
            <w:noWrap w:val="0"/>
            <w:vAlign w:val="center"/>
          </w:tcPr>
          <w:p>
            <w:pPr>
              <w:jc w:val="center"/>
              <w:rPr>
                <w:rFonts w:ascii="宋体" w:hAnsi="宋体"/>
                <w:color w:val="auto"/>
              </w:rPr>
            </w:pPr>
          </w:p>
        </w:tc>
        <w:tc>
          <w:tcPr>
            <w:tcW w:w="1290" w:type="dxa"/>
            <w:noWrap w:val="0"/>
            <w:vAlign w:val="center"/>
          </w:tcPr>
          <w:p>
            <w:pPr>
              <w:jc w:val="center"/>
              <w:rPr>
                <w:rFonts w:ascii="宋体" w:hAnsi="宋体"/>
                <w:color w:val="auto"/>
              </w:rPr>
            </w:pPr>
            <w:r>
              <w:rPr>
                <w:rFonts w:hint="eastAsia" w:ascii="宋体" w:hAnsi="宋体"/>
                <w:color w:val="auto"/>
              </w:rPr>
              <w:t>未能按原制造商规定的方法使用固定支腿、预埋节、地脚螺栓的，应提供原塔机制造厂认可的证明资料（认可说明函、相关产品合格证等）</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rPr>
            </w:pPr>
            <w:r>
              <w:rPr>
                <w:rFonts w:hint="eastAsia" w:ascii="宋体" w:hAnsi="宋体"/>
                <w:color w:val="auto"/>
              </w:rPr>
              <w:t>采用将标准节预埋在混凝土基础中的安装方式时，应经塔机制造商认可。</w:t>
            </w:r>
          </w:p>
        </w:tc>
        <w:tc>
          <w:tcPr>
            <w:tcW w:w="1200" w:type="dxa"/>
            <w:noWrap w:val="0"/>
            <w:vAlign w:val="center"/>
          </w:tcPr>
          <w:p>
            <w:pPr>
              <w:jc w:val="center"/>
              <w:rPr>
                <w:rFonts w:ascii="宋体" w:hAnsi="宋体"/>
                <w:color w:val="auto"/>
              </w:rPr>
            </w:pPr>
          </w:p>
        </w:tc>
        <w:tc>
          <w:tcPr>
            <w:tcW w:w="1095" w:type="dxa"/>
            <w:noWrap w:val="0"/>
            <w:vAlign w:val="center"/>
          </w:tcPr>
          <w:p>
            <w:pPr>
              <w:jc w:val="center"/>
              <w:rPr>
                <w:rFonts w:ascii="宋体" w:hAnsi="宋体"/>
                <w:color w:val="auto"/>
              </w:rPr>
            </w:pPr>
          </w:p>
        </w:tc>
        <w:tc>
          <w:tcPr>
            <w:tcW w:w="1290" w:type="dxa"/>
            <w:noWrap w:val="0"/>
            <w:vAlign w:val="center"/>
          </w:tcPr>
          <w:p>
            <w:pPr>
              <w:jc w:val="center"/>
              <w:rPr>
                <w:rFonts w:ascii="宋体" w:hAnsi="宋体"/>
                <w:color w:val="auto"/>
              </w:rPr>
            </w:pPr>
            <w:r>
              <w:rPr>
                <w:rFonts w:hint="eastAsia" w:ascii="宋体" w:hAnsi="宋体"/>
                <w:color w:val="auto"/>
              </w:rPr>
              <w:t>应提供塔机制造厂书面认可证明资料</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restart"/>
            <w:noWrap w:val="0"/>
            <w:vAlign w:val="center"/>
          </w:tcPr>
          <w:p>
            <w:pPr>
              <w:jc w:val="center"/>
              <w:rPr>
                <w:rFonts w:hint="eastAsia" w:ascii="宋体" w:hAnsi="宋体"/>
                <w:color w:val="auto"/>
              </w:rPr>
            </w:pPr>
            <w:r>
              <w:rPr>
                <w:rFonts w:hint="eastAsia" w:ascii="宋体" w:hAnsi="宋体"/>
                <w:color w:val="auto"/>
              </w:rPr>
              <w:t>★</w:t>
            </w:r>
          </w:p>
          <w:p>
            <w:pPr>
              <w:jc w:val="center"/>
              <w:rPr>
                <w:rFonts w:hint="eastAsia" w:ascii="宋体" w:hAnsi="宋体"/>
                <w:color w:val="auto"/>
              </w:rPr>
            </w:pPr>
            <w:r>
              <w:rPr>
                <w:rFonts w:hint="eastAsia" w:ascii="宋体" w:hAnsi="宋体"/>
                <w:color w:val="auto"/>
              </w:rPr>
              <w:t>46</w:t>
            </w:r>
          </w:p>
        </w:tc>
        <w:tc>
          <w:tcPr>
            <w:tcW w:w="678" w:type="dxa"/>
            <w:vMerge w:val="continue"/>
            <w:noWrap w:val="0"/>
            <w:vAlign w:val="center"/>
          </w:tcPr>
          <w:p>
            <w:pPr>
              <w:jc w:val="center"/>
              <w:rPr>
                <w:rFonts w:hint="eastAsia" w:ascii="宋体" w:hAnsi="宋体"/>
                <w:color w:val="auto"/>
              </w:rPr>
            </w:pPr>
          </w:p>
        </w:tc>
        <w:tc>
          <w:tcPr>
            <w:tcW w:w="915" w:type="dxa"/>
            <w:vMerge w:val="restart"/>
            <w:noWrap w:val="0"/>
            <w:vAlign w:val="center"/>
          </w:tcPr>
          <w:p>
            <w:pPr>
              <w:jc w:val="center"/>
              <w:rPr>
                <w:rFonts w:hint="eastAsia" w:ascii="宋体" w:hAnsi="宋体"/>
                <w:color w:val="auto"/>
              </w:rPr>
            </w:pPr>
            <w:r>
              <w:rPr>
                <w:rFonts w:hint="eastAsia" w:ascii="宋体" w:hAnsi="宋体"/>
                <w:color w:val="auto"/>
              </w:rPr>
              <w:t>2.2.2</w:t>
            </w:r>
          </w:p>
          <w:p>
            <w:pPr>
              <w:jc w:val="center"/>
              <w:rPr>
                <w:rFonts w:hint="eastAsia" w:ascii="宋体" w:hAnsi="宋体"/>
                <w:color w:val="auto"/>
                <w:spacing w:val="-20"/>
                <w:szCs w:val="21"/>
              </w:rPr>
            </w:pPr>
            <w:r>
              <w:rPr>
                <w:rFonts w:hint="eastAsia" w:ascii="宋体" w:hAnsi="宋体"/>
                <w:color w:val="auto"/>
                <w:spacing w:val="-20"/>
                <w:szCs w:val="21"/>
              </w:rPr>
              <w:t>固定支腿预埋节、地脚螺栓</w:t>
            </w:r>
          </w:p>
        </w:tc>
        <w:tc>
          <w:tcPr>
            <w:tcW w:w="3525" w:type="dxa"/>
            <w:gridSpan w:val="4"/>
            <w:noWrap w:val="0"/>
            <w:vAlign w:val="center"/>
          </w:tcPr>
          <w:p>
            <w:pPr>
              <w:jc w:val="left"/>
              <w:rPr>
                <w:rFonts w:hint="eastAsia" w:ascii="宋体" w:hAnsi="宋体"/>
                <w:color w:val="auto"/>
              </w:rPr>
            </w:pPr>
            <w:r>
              <w:rPr>
                <w:rFonts w:hint="eastAsia" w:ascii="宋体" w:hAnsi="宋体"/>
                <w:color w:val="auto"/>
              </w:rPr>
              <w:t>塔机的固定支腿、预埋节应由原制造厂制造；特殊情况，需要另行制造时，应有专业制造厂的制造证明，且其资质等级不应低于原制造厂。</w:t>
            </w:r>
          </w:p>
        </w:tc>
        <w:tc>
          <w:tcPr>
            <w:tcW w:w="1200" w:type="dxa"/>
            <w:noWrap w:val="0"/>
            <w:vAlign w:val="center"/>
          </w:tcPr>
          <w:p>
            <w:pPr>
              <w:jc w:val="center"/>
              <w:rPr>
                <w:rFonts w:ascii="宋体" w:hAnsi="宋体"/>
                <w:color w:val="auto"/>
              </w:rPr>
            </w:pPr>
            <w:r>
              <w:rPr>
                <w:rFonts w:hint="eastAsia" w:ascii="宋体" w:hAnsi="宋体"/>
                <w:color w:val="auto"/>
              </w:rPr>
              <w:t>非原厂制造，制造厂家资质低于原制造厂</w:t>
            </w:r>
          </w:p>
        </w:tc>
        <w:tc>
          <w:tcPr>
            <w:tcW w:w="1095" w:type="dxa"/>
            <w:noWrap w:val="0"/>
            <w:vAlign w:val="center"/>
          </w:tcPr>
          <w:p>
            <w:pPr>
              <w:jc w:val="center"/>
              <w:rPr>
                <w:rFonts w:ascii="宋体" w:hAnsi="宋体"/>
                <w:color w:val="auto"/>
              </w:rPr>
            </w:pPr>
            <w:r>
              <w:rPr>
                <w:rFonts w:hint="eastAsia" w:ascii="宋体" w:hAnsi="宋体"/>
                <w:color w:val="auto"/>
              </w:rPr>
              <w:t>制造厂家资质不低于原制造厂，但是无相关厂家的情况说明的（需提供与现场实物对应的合格证（含追溯性标志）、大样图及计算书、制造厂家情况书面，明确原设备型号的基础转换后使用设备的型号，以及安全使用的注意事项））</w:t>
            </w:r>
          </w:p>
        </w:tc>
        <w:tc>
          <w:tcPr>
            <w:tcW w:w="1290" w:type="dxa"/>
            <w:noWrap w:val="0"/>
            <w:vAlign w:val="center"/>
          </w:tcPr>
          <w:p>
            <w:pPr>
              <w:jc w:val="center"/>
              <w:rPr>
                <w:rFonts w:ascii="宋体" w:hAnsi="宋体"/>
                <w:color w:val="auto"/>
              </w:rPr>
            </w:pP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jc w:val="left"/>
              <w:rPr>
                <w:rFonts w:hint="eastAsia" w:ascii="宋体" w:hAnsi="宋体"/>
                <w:color w:val="auto"/>
              </w:rPr>
            </w:pPr>
            <w:r>
              <w:rPr>
                <w:rFonts w:hint="eastAsia" w:ascii="宋体" w:hAnsi="宋体"/>
                <w:color w:val="auto"/>
              </w:rPr>
              <w:t>固定支腿的使用寿命应符合制造厂的规定。</w:t>
            </w:r>
          </w:p>
        </w:tc>
        <w:tc>
          <w:tcPr>
            <w:tcW w:w="1200" w:type="dxa"/>
            <w:noWrap w:val="0"/>
            <w:vAlign w:val="center"/>
          </w:tcPr>
          <w:p>
            <w:pPr>
              <w:jc w:val="center"/>
              <w:rPr>
                <w:rFonts w:ascii="宋体" w:hAnsi="宋体"/>
                <w:color w:val="auto"/>
              </w:rPr>
            </w:pPr>
            <w:r>
              <w:rPr>
                <w:rFonts w:hint="eastAsia" w:ascii="宋体" w:hAnsi="宋体"/>
                <w:color w:val="auto"/>
              </w:rPr>
              <w:t>使用寿命不符合规定</w:t>
            </w: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jc w:val="left"/>
              <w:rPr>
                <w:rFonts w:hint="eastAsia" w:ascii="宋体" w:hAnsi="宋体"/>
                <w:color w:val="auto"/>
              </w:rPr>
            </w:pPr>
            <w:r>
              <w:rPr>
                <w:rFonts w:hint="eastAsia" w:ascii="宋体" w:hAnsi="宋体"/>
                <w:color w:val="auto"/>
              </w:rPr>
              <w:t>塔机的地脚螺栓应由有资质的专业制造厂制造。</w:t>
            </w:r>
          </w:p>
        </w:tc>
        <w:tc>
          <w:tcPr>
            <w:tcW w:w="1200" w:type="dxa"/>
            <w:noWrap w:val="0"/>
            <w:vAlign w:val="center"/>
          </w:tcPr>
          <w:p>
            <w:pPr>
              <w:jc w:val="center"/>
              <w:rPr>
                <w:rFonts w:ascii="宋体" w:hAnsi="宋体"/>
                <w:color w:val="auto"/>
              </w:rPr>
            </w:pPr>
            <w:r>
              <w:rPr>
                <w:rFonts w:hint="eastAsia" w:ascii="宋体" w:hAnsi="宋体"/>
                <w:color w:val="auto"/>
              </w:rPr>
              <w:t>由无资质的制造厂生产的</w:t>
            </w:r>
          </w:p>
        </w:tc>
        <w:tc>
          <w:tcPr>
            <w:tcW w:w="1095" w:type="dxa"/>
            <w:noWrap w:val="0"/>
            <w:vAlign w:val="center"/>
          </w:tcPr>
          <w:p>
            <w:pPr>
              <w:jc w:val="center"/>
              <w:rPr>
                <w:rFonts w:ascii="宋体" w:hAnsi="宋体"/>
                <w:color w:val="auto"/>
              </w:rPr>
            </w:pPr>
          </w:p>
        </w:tc>
        <w:tc>
          <w:tcPr>
            <w:tcW w:w="1290" w:type="dxa"/>
            <w:noWrap w:val="0"/>
            <w:vAlign w:val="center"/>
          </w:tcPr>
          <w:p>
            <w:pPr>
              <w:jc w:val="center"/>
              <w:rPr>
                <w:rFonts w:ascii="宋体" w:hAnsi="宋体"/>
                <w:color w:val="auto"/>
              </w:rPr>
            </w:pPr>
            <w:r>
              <w:rPr>
                <w:rFonts w:hint="eastAsia" w:ascii="宋体" w:hAnsi="宋体"/>
                <w:color w:val="auto"/>
              </w:rPr>
              <w:t>由有资质的制造厂生产的，现场无提供地脚螺栓合格证的</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w:t>
            </w:r>
          </w:p>
          <w:p>
            <w:pPr>
              <w:jc w:val="center"/>
              <w:rPr>
                <w:rFonts w:hint="eastAsia" w:ascii="宋体" w:hAnsi="宋体"/>
                <w:color w:val="auto"/>
              </w:rPr>
            </w:pPr>
            <w:r>
              <w:rPr>
                <w:rFonts w:hint="eastAsia" w:ascii="宋体" w:hAnsi="宋体"/>
                <w:color w:val="auto"/>
              </w:rPr>
              <w:t>47</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2.2.3</w:t>
            </w:r>
          </w:p>
          <w:p>
            <w:pPr>
              <w:jc w:val="center"/>
              <w:rPr>
                <w:rFonts w:hint="eastAsia" w:ascii="宋体" w:hAnsi="宋体"/>
                <w:color w:val="auto"/>
                <w:spacing w:val="-20"/>
                <w:szCs w:val="21"/>
              </w:rPr>
            </w:pPr>
            <w:r>
              <w:rPr>
                <w:rFonts w:hint="eastAsia" w:ascii="宋体" w:hAnsi="宋体"/>
                <w:color w:val="auto"/>
                <w:spacing w:val="-20"/>
                <w:szCs w:val="21"/>
              </w:rPr>
              <w:t>基础强度</w:t>
            </w:r>
          </w:p>
        </w:tc>
        <w:tc>
          <w:tcPr>
            <w:tcW w:w="3525" w:type="dxa"/>
            <w:gridSpan w:val="4"/>
            <w:noWrap w:val="0"/>
            <w:vAlign w:val="center"/>
          </w:tcPr>
          <w:p>
            <w:pPr>
              <w:jc w:val="left"/>
              <w:rPr>
                <w:rFonts w:hint="eastAsia" w:ascii="宋体" w:hAnsi="宋体"/>
                <w:color w:val="auto"/>
              </w:rPr>
            </w:pPr>
            <w:r>
              <w:rPr>
                <w:rFonts w:hint="eastAsia" w:ascii="宋体" w:hAnsi="宋体"/>
                <w:color w:val="auto"/>
              </w:rPr>
              <w:t>基础的混凝土强度等级应符合塔机制造商的要求，并不小于C25。</w:t>
            </w:r>
          </w:p>
        </w:tc>
        <w:tc>
          <w:tcPr>
            <w:tcW w:w="1200" w:type="dxa"/>
            <w:noWrap w:val="0"/>
            <w:vAlign w:val="center"/>
          </w:tcPr>
          <w:p>
            <w:pPr>
              <w:jc w:val="center"/>
              <w:rPr>
                <w:rFonts w:ascii="宋体" w:hAnsi="宋体"/>
                <w:color w:val="auto"/>
              </w:rPr>
            </w:pPr>
            <w:r>
              <w:rPr>
                <w:rFonts w:hint="eastAsia" w:ascii="宋体" w:hAnsi="宋体"/>
                <w:color w:val="auto"/>
              </w:rPr>
              <w:t>基础不能满足要求，拆机</w:t>
            </w: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right"/>
        </w:trPr>
        <w:tc>
          <w:tcPr>
            <w:tcW w:w="534" w:type="dxa"/>
            <w:noWrap w:val="0"/>
            <w:vAlign w:val="center"/>
          </w:tcPr>
          <w:p>
            <w:pPr>
              <w:jc w:val="center"/>
              <w:rPr>
                <w:rFonts w:hint="eastAsia" w:ascii="宋体" w:hAnsi="宋体"/>
                <w:color w:val="auto"/>
              </w:rPr>
            </w:pPr>
            <w:r>
              <w:rPr>
                <w:rFonts w:hint="eastAsia" w:ascii="宋体" w:hAnsi="宋体"/>
                <w:color w:val="auto"/>
              </w:rPr>
              <w:t>48</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2.2.4</w:t>
            </w:r>
          </w:p>
          <w:p>
            <w:pPr>
              <w:jc w:val="center"/>
              <w:rPr>
                <w:rFonts w:hint="eastAsia" w:ascii="宋体" w:hAnsi="宋体"/>
                <w:color w:val="auto"/>
              </w:rPr>
            </w:pPr>
            <w:r>
              <w:rPr>
                <w:rFonts w:hint="eastAsia" w:ascii="宋体" w:hAnsi="宋体"/>
                <w:color w:val="auto"/>
                <w:spacing w:val="-20"/>
                <w:szCs w:val="21"/>
              </w:rPr>
              <w:t>基础制作</w:t>
            </w:r>
          </w:p>
        </w:tc>
        <w:tc>
          <w:tcPr>
            <w:tcW w:w="3525" w:type="dxa"/>
            <w:gridSpan w:val="4"/>
            <w:noWrap w:val="0"/>
            <w:vAlign w:val="center"/>
          </w:tcPr>
          <w:p>
            <w:pPr>
              <w:rPr>
                <w:rFonts w:hint="eastAsia" w:ascii="宋体" w:hAnsi="宋体"/>
                <w:color w:val="auto"/>
              </w:rPr>
            </w:pPr>
            <w:r>
              <w:rPr>
                <w:rFonts w:hint="eastAsia" w:ascii="宋体" w:hAnsi="宋体"/>
                <w:color w:val="auto"/>
              </w:rPr>
              <w:t>实际制作的混凝土基础应与方案或使用说明书的规定一致。塔机基础应平整，有排水措施。</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right"/>
        </w:trPr>
        <w:tc>
          <w:tcPr>
            <w:tcW w:w="534" w:type="dxa"/>
            <w:vMerge w:val="restart"/>
            <w:noWrap w:val="0"/>
            <w:vAlign w:val="center"/>
          </w:tcPr>
          <w:p>
            <w:pPr>
              <w:jc w:val="center"/>
              <w:rPr>
                <w:rFonts w:hint="eastAsia" w:ascii="宋体" w:hAnsi="宋体"/>
                <w:color w:val="auto"/>
              </w:rPr>
            </w:pPr>
            <w:r>
              <w:rPr>
                <w:rFonts w:hint="eastAsia" w:ascii="宋体" w:hAnsi="宋体"/>
                <w:color w:val="auto"/>
              </w:rPr>
              <w:t>49</w:t>
            </w:r>
          </w:p>
        </w:tc>
        <w:tc>
          <w:tcPr>
            <w:tcW w:w="678" w:type="dxa"/>
            <w:vMerge w:val="continue"/>
            <w:noWrap w:val="0"/>
            <w:vAlign w:val="center"/>
          </w:tcPr>
          <w:p>
            <w:pPr>
              <w:jc w:val="center"/>
              <w:rPr>
                <w:rFonts w:hint="eastAsia" w:ascii="宋体" w:hAnsi="宋体"/>
                <w:color w:val="auto"/>
              </w:rPr>
            </w:pPr>
          </w:p>
        </w:tc>
        <w:tc>
          <w:tcPr>
            <w:tcW w:w="915" w:type="dxa"/>
            <w:vMerge w:val="restart"/>
            <w:noWrap w:val="0"/>
            <w:vAlign w:val="center"/>
          </w:tcPr>
          <w:p>
            <w:pPr>
              <w:jc w:val="center"/>
              <w:rPr>
                <w:rFonts w:hint="eastAsia" w:ascii="宋体" w:hAnsi="宋体"/>
                <w:color w:val="auto"/>
              </w:rPr>
            </w:pPr>
            <w:r>
              <w:rPr>
                <w:rFonts w:hint="eastAsia" w:ascii="宋体" w:hAnsi="宋体"/>
                <w:color w:val="auto"/>
              </w:rPr>
              <w:t>2.2.5</w:t>
            </w:r>
          </w:p>
          <w:p>
            <w:pPr>
              <w:jc w:val="center"/>
              <w:rPr>
                <w:rFonts w:hint="eastAsia" w:ascii="宋体" w:hAnsi="宋体"/>
                <w:color w:val="auto"/>
              </w:rPr>
            </w:pPr>
            <w:r>
              <w:rPr>
                <w:rFonts w:hint="eastAsia" w:ascii="宋体" w:hAnsi="宋体"/>
                <w:color w:val="auto"/>
                <w:spacing w:val="-20"/>
                <w:szCs w:val="21"/>
              </w:rPr>
              <w:t>轨道基础</w:t>
            </w:r>
          </w:p>
        </w:tc>
        <w:tc>
          <w:tcPr>
            <w:tcW w:w="3525" w:type="dxa"/>
            <w:gridSpan w:val="4"/>
            <w:noWrap w:val="0"/>
            <w:vAlign w:val="center"/>
          </w:tcPr>
          <w:p>
            <w:pPr>
              <w:rPr>
                <w:rFonts w:hint="eastAsia" w:ascii="宋体" w:hAnsi="宋体"/>
                <w:color w:val="auto"/>
              </w:rPr>
            </w:pPr>
            <w:r>
              <w:rPr>
                <w:rFonts w:hint="eastAsia" w:ascii="宋体" w:hAnsi="宋体"/>
                <w:color w:val="auto"/>
              </w:rPr>
              <w:t>塔机轨道的选用和铺设应符合使用说明书的要求。</w:t>
            </w:r>
          </w:p>
        </w:tc>
        <w:tc>
          <w:tcPr>
            <w:tcW w:w="1200" w:type="dxa"/>
            <w:noWrap w:val="0"/>
            <w:vAlign w:val="center"/>
          </w:tcPr>
          <w:p>
            <w:pPr>
              <w:jc w:val="center"/>
              <w:rPr>
                <w:rFonts w:hint="eastAsia" w:ascii="宋体" w:hAnsi="宋体"/>
                <w:color w:val="auto"/>
              </w:rPr>
            </w:pPr>
          </w:p>
        </w:tc>
        <w:tc>
          <w:tcPr>
            <w:tcW w:w="1095" w:type="dxa"/>
            <w:vMerge w:val="restart"/>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spacing w:val="-6"/>
                <w:szCs w:val="21"/>
              </w:rPr>
            </w:pPr>
            <w:r>
              <w:rPr>
                <w:rFonts w:hint="eastAsia" w:ascii="宋体" w:hAnsi="宋体"/>
                <w:color w:val="auto"/>
                <w:spacing w:val="-6"/>
                <w:szCs w:val="21"/>
              </w:rPr>
              <w:t>当塔机轨道敷设在地下建筑物之上时，应采取加固措施。</w:t>
            </w:r>
          </w:p>
        </w:tc>
        <w:tc>
          <w:tcPr>
            <w:tcW w:w="1200" w:type="dxa"/>
            <w:noWrap w:val="0"/>
            <w:vAlign w:val="center"/>
          </w:tcPr>
          <w:p>
            <w:pPr>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rPr>
            </w:pPr>
            <w:r>
              <w:rPr>
                <w:rFonts w:hint="eastAsia" w:ascii="宋体" w:hAnsi="宋体"/>
                <w:color w:val="auto"/>
              </w:rPr>
              <w:t>路基两侧及中间应设排水措施，保证路基无积水。</w:t>
            </w:r>
          </w:p>
        </w:tc>
        <w:tc>
          <w:tcPr>
            <w:tcW w:w="1200" w:type="dxa"/>
            <w:noWrap w:val="0"/>
            <w:vAlign w:val="center"/>
          </w:tcPr>
          <w:p>
            <w:pPr>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right"/>
        </w:trPr>
        <w:tc>
          <w:tcPr>
            <w:tcW w:w="534" w:type="dxa"/>
            <w:noWrap w:val="0"/>
            <w:vAlign w:val="center"/>
          </w:tcPr>
          <w:p>
            <w:pPr>
              <w:jc w:val="center"/>
              <w:rPr>
                <w:rFonts w:hint="eastAsia" w:ascii="宋体" w:hAnsi="宋体"/>
                <w:color w:val="auto"/>
              </w:rPr>
            </w:pPr>
            <w:r>
              <w:rPr>
                <w:rFonts w:hint="eastAsia" w:ascii="宋体" w:hAnsi="宋体"/>
                <w:color w:val="auto"/>
              </w:rPr>
              <w:t>50</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2.2.6</w:t>
            </w:r>
          </w:p>
          <w:p>
            <w:pPr>
              <w:jc w:val="center"/>
              <w:rPr>
                <w:rFonts w:hint="eastAsia" w:ascii="宋体" w:hAnsi="宋体"/>
                <w:color w:val="auto"/>
              </w:rPr>
            </w:pPr>
            <w:r>
              <w:rPr>
                <w:rFonts w:hint="eastAsia" w:ascii="宋体" w:hAnsi="宋体"/>
                <w:color w:val="auto"/>
                <w:spacing w:val="-20"/>
                <w:szCs w:val="21"/>
              </w:rPr>
              <w:t>轨道敷设</w:t>
            </w:r>
          </w:p>
        </w:tc>
        <w:tc>
          <w:tcPr>
            <w:tcW w:w="3525" w:type="dxa"/>
            <w:gridSpan w:val="4"/>
            <w:noWrap w:val="0"/>
            <w:vAlign w:val="center"/>
          </w:tcPr>
          <w:p>
            <w:pPr>
              <w:rPr>
                <w:rFonts w:hint="eastAsia" w:ascii="宋体" w:hAnsi="宋体"/>
                <w:color w:val="auto"/>
              </w:rPr>
            </w:pPr>
            <w:r>
              <w:rPr>
                <w:rFonts w:hint="eastAsia" w:ascii="宋体" w:hAnsi="宋体"/>
                <w:color w:val="auto"/>
              </w:rPr>
              <w:t>塔机轨道敷设应符合下列要求：</w:t>
            </w:r>
          </w:p>
          <w:p>
            <w:pPr>
              <w:rPr>
                <w:rFonts w:hint="eastAsia" w:ascii="宋体" w:hAnsi="宋体"/>
                <w:color w:val="auto"/>
                <w:szCs w:val="21"/>
              </w:rPr>
            </w:pPr>
            <w:r>
              <w:rPr>
                <w:rFonts w:hint="eastAsia" w:ascii="宋体" w:hAnsi="宋体"/>
                <w:color w:val="auto"/>
                <w:szCs w:val="21"/>
              </w:rPr>
              <w:t>(1)轨道应通过垫块与轨枕可靠地连接，每间隔</w:t>
            </w:r>
            <w:r>
              <w:rPr>
                <w:rFonts w:ascii="宋体" w:hAnsi="宋体"/>
                <w:color w:val="auto"/>
                <w:szCs w:val="21"/>
              </w:rPr>
              <w:t>6m</w:t>
            </w:r>
            <w:r>
              <w:rPr>
                <w:rFonts w:hint="eastAsia" w:ascii="宋体" w:hAnsi="宋体"/>
                <w:color w:val="auto"/>
                <w:szCs w:val="21"/>
              </w:rPr>
              <w:t>应设一个轨距拉杆；钢轨</w:t>
            </w:r>
            <w:r>
              <w:rPr>
                <w:rFonts w:ascii="宋体" w:hAnsi="宋体"/>
                <w:color w:val="auto"/>
                <w:szCs w:val="21"/>
              </w:rPr>
              <w:t>接头处必须有轨枕支承,不得悬空。</w:t>
            </w:r>
            <w:r>
              <w:rPr>
                <w:rFonts w:hint="eastAsia" w:ascii="宋体" w:hAnsi="宋体"/>
                <w:color w:val="auto"/>
                <w:szCs w:val="21"/>
              </w:rPr>
              <w:t>在使用过程中轨道不应移动。</w:t>
            </w:r>
          </w:p>
          <w:p>
            <w:pPr>
              <w:rPr>
                <w:rFonts w:hint="eastAsia" w:ascii="宋体" w:hAnsi="宋体"/>
                <w:color w:val="auto"/>
                <w:szCs w:val="21"/>
              </w:rPr>
            </w:pPr>
            <w:r>
              <w:rPr>
                <w:rFonts w:hint="eastAsia" w:ascii="宋体" w:hAnsi="宋体"/>
                <w:color w:val="auto"/>
                <w:szCs w:val="21"/>
              </w:rPr>
              <w:t>(2)轨距误差应≤公称值的1‰，其绝对值≤6</w:t>
            </w:r>
            <w:r>
              <w:rPr>
                <w:rFonts w:ascii="宋体" w:hAnsi="宋体"/>
                <w:color w:val="auto"/>
                <w:szCs w:val="21"/>
              </w:rPr>
              <w:t>mm</w:t>
            </w:r>
            <w:r>
              <w:rPr>
                <w:rFonts w:hint="eastAsia" w:ascii="宋体" w:hAnsi="宋体"/>
                <w:color w:val="auto"/>
                <w:szCs w:val="21"/>
              </w:rPr>
              <w:t>。</w:t>
            </w:r>
          </w:p>
          <w:p>
            <w:pPr>
              <w:rPr>
                <w:rFonts w:hint="eastAsia" w:ascii="宋体" w:hAnsi="宋体"/>
                <w:color w:val="auto"/>
                <w:szCs w:val="21"/>
              </w:rPr>
            </w:pPr>
            <w:r>
              <w:rPr>
                <w:rFonts w:hint="eastAsia" w:ascii="宋体" w:hAnsi="宋体"/>
                <w:color w:val="auto"/>
                <w:szCs w:val="21"/>
              </w:rPr>
              <w:t>(3)钢轨接头间隙应≤</w:t>
            </w:r>
            <w:r>
              <w:rPr>
                <w:rFonts w:ascii="宋体" w:hAnsi="宋体"/>
                <w:color w:val="auto"/>
                <w:szCs w:val="21"/>
              </w:rPr>
              <w:t>4mm</w:t>
            </w:r>
            <w:r>
              <w:rPr>
                <w:rFonts w:hint="eastAsia" w:ascii="宋体" w:hAnsi="宋体"/>
                <w:color w:val="auto"/>
                <w:szCs w:val="21"/>
              </w:rPr>
              <w:t>；</w:t>
            </w:r>
            <w:r>
              <w:rPr>
                <w:rFonts w:ascii="宋体" w:hAnsi="宋体"/>
                <w:color w:val="auto"/>
                <w:szCs w:val="21"/>
              </w:rPr>
              <w:t>与</w:t>
            </w:r>
            <w:r>
              <w:rPr>
                <w:rFonts w:hint="eastAsia" w:ascii="宋体" w:hAnsi="宋体"/>
                <w:color w:val="auto"/>
                <w:szCs w:val="21"/>
              </w:rPr>
              <w:t>另一</w:t>
            </w:r>
            <w:r>
              <w:rPr>
                <w:rFonts w:ascii="宋体" w:hAnsi="宋体"/>
                <w:color w:val="auto"/>
                <w:szCs w:val="21"/>
              </w:rPr>
              <w:t>侧</w:t>
            </w:r>
            <w:r>
              <w:rPr>
                <w:rFonts w:hint="eastAsia" w:ascii="宋体" w:hAnsi="宋体"/>
                <w:color w:val="auto"/>
                <w:szCs w:val="21"/>
              </w:rPr>
              <w:t>钢轨</w:t>
            </w:r>
            <w:r>
              <w:rPr>
                <w:rFonts w:ascii="宋体" w:hAnsi="宋体"/>
                <w:color w:val="auto"/>
                <w:szCs w:val="21"/>
              </w:rPr>
              <w:t>接头</w:t>
            </w:r>
            <w:r>
              <w:rPr>
                <w:rFonts w:hint="eastAsia" w:ascii="宋体" w:hAnsi="宋体"/>
                <w:color w:val="auto"/>
                <w:szCs w:val="21"/>
              </w:rPr>
              <w:t>的</w:t>
            </w:r>
            <w:r>
              <w:rPr>
                <w:rFonts w:ascii="宋体" w:hAnsi="宋体"/>
                <w:color w:val="auto"/>
                <w:szCs w:val="21"/>
              </w:rPr>
              <w:t>错开距离应</w:t>
            </w:r>
            <w:r>
              <w:rPr>
                <w:rFonts w:hint="eastAsia" w:ascii="宋体" w:hAnsi="宋体"/>
                <w:color w:val="auto"/>
                <w:szCs w:val="21"/>
              </w:rPr>
              <w:t>≥</w:t>
            </w:r>
            <w:r>
              <w:rPr>
                <w:rFonts w:ascii="宋体" w:hAnsi="宋体"/>
                <w:color w:val="auto"/>
                <w:szCs w:val="21"/>
              </w:rPr>
              <w:t>1.5m</w:t>
            </w:r>
            <w:r>
              <w:rPr>
                <w:rFonts w:hint="eastAsia" w:ascii="宋体" w:hAnsi="宋体"/>
                <w:color w:val="auto"/>
                <w:szCs w:val="21"/>
              </w:rPr>
              <w:t>，</w:t>
            </w:r>
            <w:r>
              <w:rPr>
                <w:rFonts w:ascii="宋体" w:hAnsi="宋体"/>
                <w:color w:val="auto"/>
                <w:szCs w:val="21"/>
              </w:rPr>
              <w:t>接头处两轨顶高度差应</w:t>
            </w:r>
            <w:r>
              <w:rPr>
                <w:rFonts w:hint="eastAsia" w:ascii="宋体" w:hAnsi="宋体"/>
                <w:color w:val="auto"/>
                <w:szCs w:val="21"/>
              </w:rPr>
              <w:t>≤</w:t>
            </w:r>
            <w:r>
              <w:rPr>
                <w:rFonts w:ascii="宋体" w:hAnsi="宋体"/>
                <w:color w:val="auto"/>
                <w:szCs w:val="21"/>
              </w:rPr>
              <w:t>2mm</w:t>
            </w:r>
            <w:r>
              <w:rPr>
                <w:rFonts w:hint="eastAsia" w:ascii="宋体" w:hAnsi="宋体"/>
                <w:color w:val="auto"/>
                <w:szCs w:val="21"/>
              </w:rPr>
              <w:t>。</w:t>
            </w:r>
          </w:p>
          <w:p>
            <w:pPr>
              <w:rPr>
                <w:rFonts w:hint="eastAsia" w:ascii="宋体" w:hAnsi="宋体"/>
                <w:color w:val="auto"/>
              </w:rPr>
            </w:pPr>
            <w:r>
              <w:rPr>
                <w:rFonts w:hint="eastAsia" w:ascii="宋体" w:hAnsi="宋体"/>
                <w:color w:val="auto"/>
                <w:szCs w:val="21"/>
              </w:rPr>
              <w:t>(4)塔机安装后，轨道顶面纵、横方向上的倾斜度，对于上回转塔机应≤3‰；对于下回转塔机应≤5‰。轨道全程中，轨道顶面任意两点的高度差应＜100mm。</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51</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2.2.7</w:t>
            </w:r>
          </w:p>
          <w:p>
            <w:pPr>
              <w:jc w:val="center"/>
              <w:rPr>
                <w:rFonts w:hint="eastAsia" w:ascii="宋体" w:hAnsi="宋体"/>
                <w:color w:val="auto"/>
                <w:spacing w:val="-20"/>
                <w:szCs w:val="21"/>
              </w:rPr>
            </w:pPr>
            <w:r>
              <w:rPr>
                <w:rFonts w:hint="eastAsia" w:ascii="宋体" w:hAnsi="宋体"/>
                <w:color w:val="auto"/>
                <w:spacing w:val="-20"/>
                <w:szCs w:val="21"/>
              </w:rPr>
              <w:t>特殊基础</w:t>
            </w:r>
          </w:p>
        </w:tc>
        <w:tc>
          <w:tcPr>
            <w:tcW w:w="3525" w:type="dxa"/>
            <w:gridSpan w:val="4"/>
            <w:noWrap w:val="0"/>
            <w:vAlign w:val="center"/>
          </w:tcPr>
          <w:p>
            <w:pPr>
              <w:rPr>
                <w:rFonts w:hint="eastAsia" w:ascii="宋体" w:hAnsi="宋体"/>
                <w:color w:val="auto"/>
                <w:szCs w:val="21"/>
              </w:rPr>
            </w:pPr>
            <w:r>
              <w:rPr>
                <w:rFonts w:hint="eastAsia" w:ascii="宋体" w:hAnsi="宋体"/>
                <w:color w:val="auto"/>
                <w:szCs w:val="21"/>
              </w:rPr>
              <w:t>当采用钢结构平台等特殊基础时，该基础应由专业工程师设计，并形成完整的方案，且能满足塔机使用要求。实际制作的特殊基础应与方案的规定一致。</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right"/>
        </w:trPr>
        <w:tc>
          <w:tcPr>
            <w:tcW w:w="534" w:type="dxa"/>
            <w:vMerge w:val="restart"/>
            <w:noWrap w:val="0"/>
            <w:vAlign w:val="center"/>
          </w:tcPr>
          <w:p>
            <w:pPr>
              <w:jc w:val="center"/>
              <w:rPr>
                <w:rFonts w:hint="eastAsia" w:ascii="宋体" w:hAnsi="宋体"/>
                <w:color w:val="auto"/>
              </w:rPr>
            </w:pPr>
            <w:r>
              <w:rPr>
                <w:rFonts w:hint="eastAsia" w:ascii="宋体" w:hAnsi="宋体"/>
                <w:color w:val="auto"/>
              </w:rPr>
              <w:t>52</w:t>
            </w:r>
          </w:p>
        </w:tc>
        <w:tc>
          <w:tcPr>
            <w:tcW w:w="678" w:type="dxa"/>
            <w:vMerge w:val="continue"/>
            <w:noWrap w:val="0"/>
            <w:vAlign w:val="center"/>
          </w:tcPr>
          <w:p>
            <w:pPr>
              <w:jc w:val="center"/>
              <w:rPr>
                <w:rFonts w:hint="eastAsia" w:ascii="宋体" w:hAnsi="宋体"/>
                <w:color w:val="auto"/>
              </w:rPr>
            </w:pPr>
          </w:p>
        </w:tc>
        <w:tc>
          <w:tcPr>
            <w:tcW w:w="915" w:type="dxa"/>
            <w:vMerge w:val="restart"/>
            <w:noWrap w:val="0"/>
            <w:vAlign w:val="center"/>
          </w:tcPr>
          <w:p>
            <w:pPr>
              <w:jc w:val="center"/>
              <w:rPr>
                <w:rFonts w:hint="eastAsia" w:ascii="宋体" w:hAnsi="宋体"/>
                <w:color w:val="auto"/>
              </w:rPr>
            </w:pPr>
            <w:r>
              <w:rPr>
                <w:rFonts w:hint="eastAsia" w:ascii="宋体" w:hAnsi="宋体"/>
                <w:color w:val="auto"/>
              </w:rPr>
              <w:t>2.2.8</w:t>
            </w:r>
          </w:p>
          <w:p>
            <w:pPr>
              <w:jc w:val="center"/>
              <w:rPr>
                <w:rFonts w:hint="eastAsia" w:ascii="宋体" w:hAnsi="宋体"/>
                <w:color w:val="auto"/>
              </w:rPr>
            </w:pPr>
            <w:r>
              <w:rPr>
                <w:rFonts w:hint="eastAsia" w:ascii="宋体" w:hAnsi="宋体"/>
                <w:color w:val="auto"/>
              </w:rPr>
              <w:t>平衡重及压重</w:t>
            </w:r>
          </w:p>
        </w:tc>
        <w:tc>
          <w:tcPr>
            <w:tcW w:w="3525" w:type="dxa"/>
            <w:gridSpan w:val="4"/>
            <w:noWrap w:val="0"/>
            <w:vAlign w:val="center"/>
          </w:tcPr>
          <w:p>
            <w:pPr>
              <w:spacing w:line="280" w:lineRule="exact"/>
              <w:rPr>
                <w:rFonts w:hint="eastAsia" w:ascii="宋体" w:hAnsi="宋体"/>
                <w:color w:val="auto"/>
                <w:szCs w:val="21"/>
              </w:rPr>
            </w:pPr>
            <w:r>
              <w:rPr>
                <w:rFonts w:hint="eastAsia" w:ascii="宋体" w:hAnsi="宋体"/>
                <w:color w:val="auto"/>
                <w:szCs w:val="21"/>
              </w:rPr>
              <w:t>平衡重、压重应有准确、清晰的重量标识，其安装位置及数量应与设计要求相符，并保证在其规定位置上不移位、不脱落，平衡重块之间不得互相撞击。</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ascii="宋体" w:hAnsi="宋体"/>
                <w:color w:val="auto"/>
              </w:rPr>
            </w:pPr>
            <w:r>
              <w:rPr>
                <w:rFonts w:hint="eastAsia" w:ascii="宋体" w:hAnsi="宋体"/>
                <w:color w:val="auto"/>
              </w:rPr>
              <w:t>平衡重位置数量未按说明书规定设置，无厂家书面证明的</w:t>
            </w:r>
          </w:p>
        </w:tc>
        <w:tc>
          <w:tcPr>
            <w:tcW w:w="1290" w:type="dxa"/>
            <w:noWrap w:val="0"/>
            <w:vAlign w:val="center"/>
          </w:tcPr>
          <w:p>
            <w:pPr>
              <w:jc w:val="center"/>
              <w:rPr>
                <w:rFonts w:ascii="宋体" w:hAnsi="宋体"/>
                <w:color w:val="auto"/>
              </w:rPr>
            </w:pPr>
            <w:r>
              <w:rPr>
                <w:rFonts w:hint="eastAsia" w:ascii="宋体" w:hAnsi="宋体"/>
                <w:color w:val="auto"/>
              </w:rPr>
              <w:t>平衡重重量标志错误的</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szCs w:val="21"/>
              </w:rPr>
            </w:pPr>
            <w:r>
              <w:rPr>
                <w:rFonts w:hint="eastAsia" w:ascii="宋体" w:hAnsi="宋体"/>
                <w:color w:val="auto"/>
                <w:szCs w:val="21"/>
              </w:rPr>
              <w:t>当使用散粒物料作平衡重时应使用平衡重箱，平衡重箱应防水。</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right"/>
        </w:trPr>
        <w:tc>
          <w:tcPr>
            <w:tcW w:w="534" w:type="dxa"/>
            <w:vMerge w:val="restart"/>
            <w:noWrap w:val="0"/>
            <w:vAlign w:val="center"/>
          </w:tcPr>
          <w:p>
            <w:pPr>
              <w:jc w:val="center"/>
              <w:rPr>
                <w:rFonts w:hint="eastAsia" w:ascii="宋体" w:hAnsi="宋体"/>
                <w:color w:val="auto"/>
              </w:rPr>
            </w:pPr>
            <w:r>
              <w:rPr>
                <w:rFonts w:hint="eastAsia" w:ascii="宋体" w:hAnsi="宋体"/>
                <w:color w:val="auto"/>
              </w:rPr>
              <w:t>★53</w:t>
            </w:r>
          </w:p>
        </w:tc>
        <w:tc>
          <w:tcPr>
            <w:tcW w:w="678" w:type="dxa"/>
            <w:vMerge w:val="restart"/>
            <w:noWrap w:val="0"/>
            <w:vAlign w:val="center"/>
          </w:tcPr>
          <w:p>
            <w:pPr>
              <w:jc w:val="center"/>
              <w:rPr>
                <w:rFonts w:hint="eastAsia" w:ascii="宋体" w:hAnsi="宋体"/>
                <w:color w:val="auto"/>
              </w:rPr>
            </w:pPr>
            <w:r>
              <w:rPr>
                <w:rFonts w:hint="eastAsia" w:ascii="宋体" w:hAnsi="宋体"/>
                <w:color w:val="auto"/>
              </w:rPr>
              <w:t>2.3</w:t>
            </w:r>
          </w:p>
          <w:p>
            <w:pPr>
              <w:jc w:val="center"/>
              <w:rPr>
                <w:rFonts w:hint="eastAsia" w:ascii="宋体" w:hAnsi="宋体"/>
                <w:color w:val="auto"/>
              </w:rPr>
            </w:pPr>
            <w:r>
              <w:rPr>
                <w:rFonts w:hint="eastAsia" w:ascii="宋体" w:hAnsi="宋体"/>
                <w:color w:val="auto"/>
              </w:rPr>
              <w:t>结构件安装与连接</w:t>
            </w:r>
          </w:p>
        </w:tc>
        <w:tc>
          <w:tcPr>
            <w:tcW w:w="915" w:type="dxa"/>
            <w:vMerge w:val="restart"/>
            <w:noWrap w:val="0"/>
            <w:vAlign w:val="center"/>
          </w:tcPr>
          <w:p>
            <w:pPr>
              <w:jc w:val="center"/>
              <w:rPr>
                <w:rFonts w:hint="eastAsia" w:ascii="宋体" w:hAnsi="宋体"/>
                <w:color w:val="auto"/>
              </w:rPr>
            </w:pPr>
            <w:r>
              <w:rPr>
                <w:rFonts w:hint="eastAsia" w:ascii="宋体" w:hAnsi="宋体"/>
                <w:color w:val="auto"/>
              </w:rPr>
              <w:t>2.3.1</w:t>
            </w:r>
          </w:p>
          <w:p>
            <w:pPr>
              <w:jc w:val="center"/>
              <w:rPr>
                <w:rFonts w:hint="eastAsia" w:ascii="宋体" w:hAnsi="宋体"/>
                <w:color w:val="auto"/>
              </w:rPr>
            </w:pPr>
            <w:r>
              <w:rPr>
                <w:rFonts w:hint="eastAsia" w:ascii="宋体" w:hAnsi="宋体"/>
                <w:color w:val="auto"/>
                <w:spacing w:val="-20"/>
                <w:szCs w:val="21"/>
              </w:rPr>
              <w:t>安装高度及垂直度</w:t>
            </w:r>
          </w:p>
        </w:tc>
        <w:tc>
          <w:tcPr>
            <w:tcW w:w="3525" w:type="dxa"/>
            <w:gridSpan w:val="4"/>
            <w:noWrap w:val="0"/>
            <w:vAlign w:val="center"/>
          </w:tcPr>
          <w:p>
            <w:pPr>
              <w:rPr>
                <w:rFonts w:hint="eastAsia" w:ascii="宋体" w:hAnsi="宋体"/>
                <w:color w:val="auto"/>
                <w:szCs w:val="21"/>
              </w:rPr>
            </w:pPr>
            <w:r>
              <w:rPr>
                <w:rFonts w:hint="eastAsia" w:ascii="宋体" w:hAnsi="宋体"/>
                <w:color w:val="auto"/>
                <w:szCs w:val="21"/>
              </w:rPr>
              <w:t>任何状态下塔机的安装高度不得超过设计允许的最大高度。</w:t>
            </w:r>
          </w:p>
        </w:tc>
        <w:tc>
          <w:tcPr>
            <w:tcW w:w="1200" w:type="dxa"/>
            <w:noWrap w:val="0"/>
            <w:vAlign w:val="center"/>
          </w:tcPr>
          <w:p>
            <w:pPr>
              <w:jc w:val="center"/>
              <w:rPr>
                <w:rFonts w:ascii="宋体" w:hAnsi="宋体"/>
                <w:color w:val="auto"/>
              </w:rPr>
            </w:pPr>
          </w:p>
        </w:tc>
        <w:tc>
          <w:tcPr>
            <w:tcW w:w="1095" w:type="dxa"/>
            <w:noWrap w:val="0"/>
            <w:vAlign w:val="center"/>
          </w:tcPr>
          <w:p>
            <w:pPr>
              <w:jc w:val="center"/>
              <w:rPr>
                <w:rFonts w:ascii="宋体" w:hAnsi="宋体"/>
                <w:color w:val="auto"/>
              </w:rPr>
            </w:pPr>
            <w:r>
              <w:rPr>
                <w:rFonts w:hint="eastAsia" w:ascii="宋体" w:hAnsi="宋体"/>
                <w:color w:val="auto"/>
              </w:rPr>
              <w:t>超出说明书规定的部分拆除</w:t>
            </w:r>
          </w:p>
        </w:tc>
        <w:tc>
          <w:tcPr>
            <w:tcW w:w="1290" w:type="dxa"/>
            <w:noWrap w:val="0"/>
            <w:vAlign w:val="center"/>
          </w:tcPr>
          <w:p>
            <w:pPr>
              <w:jc w:val="center"/>
              <w:rPr>
                <w:rFonts w:ascii="宋体" w:hAnsi="宋体"/>
                <w:color w:val="auto"/>
              </w:rPr>
            </w:pP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szCs w:val="21"/>
              </w:rPr>
            </w:pPr>
            <w:r>
              <w:rPr>
                <w:rFonts w:hint="eastAsia" w:ascii="宋体" w:hAnsi="宋体"/>
                <w:color w:val="auto"/>
                <w:szCs w:val="21"/>
              </w:rPr>
              <w:t>独立状态下，塔身轴心线的侧向垂直度偏差应≤4‰。</w:t>
            </w:r>
          </w:p>
        </w:tc>
        <w:tc>
          <w:tcPr>
            <w:tcW w:w="1200" w:type="dxa"/>
            <w:noWrap w:val="0"/>
            <w:vAlign w:val="center"/>
          </w:tcPr>
          <w:p>
            <w:pPr>
              <w:jc w:val="center"/>
              <w:rPr>
                <w:rFonts w:ascii="宋体" w:hAnsi="宋体"/>
                <w:color w:val="auto"/>
              </w:rPr>
            </w:pPr>
            <w:r>
              <w:rPr>
                <w:rFonts w:hint="eastAsia" w:ascii="宋体" w:hAnsi="宋体"/>
                <w:color w:val="auto"/>
              </w:rPr>
              <w:t>垂直度超标，超标达最大允许偏差50%的</w:t>
            </w:r>
          </w:p>
        </w:tc>
        <w:tc>
          <w:tcPr>
            <w:tcW w:w="1095" w:type="dxa"/>
            <w:noWrap w:val="0"/>
            <w:vAlign w:val="center"/>
          </w:tcPr>
          <w:p>
            <w:pPr>
              <w:jc w:val="center"/>
              <w:rPr>
                <w:rFonts w:ascii="宋体" w:hAnsi="宋体"/>
                <w:color w:val="auto"/>
              </w:rPr>
            </w:pPr>
            <w:r>
              <w:rPr>
                <w:rFonts w:hint="eastAsia" w:ascii="宋体" w:hAnsi="宋体"/>
                <w:color w:val="auto"/>
              </w:rPr>
              <w:t>垂直度超标，超标部分小于最大允许偏差50%的</w:t>
            </w:r>
          </w:p>
        </w:tc>
        <w:tc>
          <w:tcPr>
            <w:tcW w:w="1290" w:type="dxa"/>
            <w:noWrap w:val="0"/>
            <w:vAlign w:val="center"/>
          </w:tcPr>
          <w:p>
            <w:pPr>
              <w:jc w:val="center"/>
              <w:rPr>
                <w:rFonts w:ascii="宋体" w:hAnsi="宋体"/>
                <w:color w:val="auto"/>
              </w:rPr>
            </w:pP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szCs w:val="21"/>
              </w:rPr>
            </w:pPr>
            <w:r>
              <w:rPr>
                <w:rFonts w:hint="eastAsia" w:ascii="宋体" w:hAnsi="宋体"/>
                <w:color w:val="auto"/>
                <w:szCs w:val="21"/>
              </w:rPr>
              <w:t>附着状态下最高附着点以上塔身轴心线的侧向垂直度偏差应≤4‰；</w:t>
            </w:r>
          </w:p>
        </w:tc>
        <w:tc>
          <w:tcPr>
            <w:tcW w:w="1200" w:type="dxa"/>
            <w:noWrap w:val="0"/>
            <w:vAlign w:val="center"/>
          </w:tcPr>
          <w:p>
            <w:pPr>
              <w:jc w:val="center"/>
              <w:rPr>
                <w:rFonts w:hint="eastAsia" w:ascii="宋体" w:hAnsi="宋体"/>
                <w:color w:val="auto"/>
              </w:rPr>
            </w:pPr>
            <w:r>
              <w:rPr>
                <w:rFonts w:hint="eastAsia" w:ascii="宋体" w:hAnsi="宋体"/>
                <w:color w:val="auto"/>
              </w:rPr>
              <w:t>垂直度超标，超标达最大允许偏差50%的</w:t>
            </w:r>
          </w:p>
        </w:tc>
        <w:tc>
          <w:tcPr>
            <w:tcW w:w="1095" w:type="dxa"/>
            <w:noWrap w:val="0"/>
            <w:vAlign w:val="center"/>
          </w:tcPr>
          <w:p>
            <w:pPr>
              <w:jc w:val="center"/>
              <w:rPr>
                <w:rFonts w:hint="eastAsia" w:ascii="宋体" w:hAnsi="宋体"/>
                <w:color w:val="auto"/>
              </w:rPr>
            </w:pPr>
            <w:r>
              <w:rPr>
                <w:rFonts w:hint="eastAsia" w:ascii="宋体" w:hAnsi="宋体"/>
                <w:color w:val="auto"/>
              </w:rPr>
              <w:t>垂直度超标，超标部分小于最大允许偏差50%的</w:t>
            </w:r>
          </w:p>
        </w:tc>
        <w:tc>
          <w:tcPr>
            <w:tcW w:w="1290" w:type="dxa"/>
            <w:noWrap w:val="0"/>
            <w:vAlign w:val="center"/>
          </w:tcPr>
          <w:p>
            <w:pPr>
              <w:jc w:val="center"/>
              <w:rPr>
                <w:rFonts w:hint="eastAsia" w:ascii="宋体" w:hAnsi="宋体"/>
                <w:color w:val="auto"/>
              </w:rPr>
            </w:pP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rPr>
            </w:pPr>
            <w:r>
              <w:rPr>
                <w:rFonts w:hint="eastAsia" w:ascii="宋体" w:hAnsi="宋体"/>
                <w:color w:val="auto"/>
                <w:szCs w:val="21"/>
              </w:rPr>
              <w:t>附着状态下最高附着点以下塔身轴心线的侧向垂直度偏差应≤2‰。</w:t>
            </w:r>
          </w:p>
        </w:tc>
        <w:tc>
          <w:tcPr>
            <w:tcW w:w="1200" w:type="dxa"/>
            <w:noWrap w:val="0"/>
            <w:vAlign w:val="center"/>
          </w:tcPr>
          <w:p>
            <w:pPr>
              <w:jc w:val="center"/>
              <w:rPr>
                <w:rFonts w:hint="eastAsia" w:ascii="宋体" w:hAnsi="宋体"/>
                <w:color w:val="auto"/>
              </w:rPr>
            </w:pPr>
            <w:r>
              <w:rPr>
                <w:rFonts w:hint="eastAsia" w:ascii="宋体" w:hAnsi="宋体"/>
                <w:color w:val="auto"/>
              </w:rPr>
              <w:t>垂直度超标，超标达最大允许偏差50%的</w:t>
            </w:r>
          </w:p>
        </w:tc>
        <w:tc>
          <w:tcPr>
            <w:tcW w:w="1095" w:type="dxa"/>
            <w:noWrap w:val="0"/>
            <w:vAlign w:val="center"/>
          </w:tcPr>
          <w:p>
            <w:pPr>
              <w:jc w:val="center"/>
              <w:rPr>
                <w:rFonts w:hint="eastAsia" w:ascii="宋体" w:hAnsi="宋体"/>
                <w:color w:val="auto"/>
              </w:rPr>
            </w:pPr>
            <w:r>
              <w:rPr>
                <w:rFonts w:hint="eastAsia" w:ascii="宋体" w:hAnsi="宋体"/>
                <w:color w:val="auto"/>
              </w:rPr>
              <w:t>垂直度超标，超标部分小于最大允许偏差50%的</w:t>
            </w:r>
          </w:p>
        </w:tc>
        <w:tc>
          <w:tcPr>
            <w:tcW w:w="1290" w:type="dxa"/>
            <w:noWrap w:val="0"/>
            <w:vAlign w:val="center"/>
          </w:tcPr>
          <w:p>
            <w:pPr>
              <w:jc w:val="center"/>
              <w:rPr>
                <w:rFonts w:hint="eastAsia" w:ascii="宋体" w:hAnsi="宋体"/>
                <w:color w:val="auto"/>
              </w:rPr>
            </w:pP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right"/>
        </w:trPr>
        <w:tc>
          <w:tcPr>
            <w:tcW w:w="534" w:type="dxa"/>
            <w:noWrap w:val="0"/>
            <w:vAlign w:val="center"/>
          </w:tcPr>
          <w:p>
            <w:pPr>
              <w:jc w:val="center"/>
              <w:rPr>
                <w:rFonts w:hint="eastAsia" w:ascii="宋体" w:hAnsi="宋体"/>
                <w:color w:val="auto"/>
              </w:rPr>
            </w:pPr>
            <w:r>
              <w:rPr>
                <w:rFonts w:hint="eastAsia" w:ascii="宋体" w:hAnsi="宋体"/>
                <w:color w:val="auto"/>
              </w:rPr>
              <w:t>★54</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szCs w:val="21"/>
              </w:rPr>
            </w:pPr>
            <w:r>
              <w:rPr>
                <w:rFonts w:hint="eastAsia" w:ascii="宋体" w:hAnsi="宋体"/>
                <w:color w:val="auto"/>
                <w:szCs w:val="21"/>
              </w:rPr>
              <w:t>2.3.2</w:t>
            </w:r>
          </w:p>
          <w:p>
            <w:pPr>
              <w:jc w:val="center"/>
              <w:rPr>
                <w:rFonts w:hint="eastAsia" w:ascii="宋体" w:hAnsi="宋体"/>
                <w:color w:val="auto"/>
                <w:spacing w:val="-20"/>
                <w:szCs w:val="21"/>
              </w:rPr>
            </w:pPr>
            <w:r>
              <w:rPr>
                <w:rFonts w:hint="eastAsia" w:ascii="宋体" w:hAnsi="宋体"/>
                <w:color w:val="auto"/>
                <w:spacing w:val="-20"/>
                <w:szCs w:val="21"/>
              </w:rPr>
              <w:t>销轴连接</w:t>
            </w:r>
          </w:p>
        </w:tc>
        <w:tc>
          <w:tcPr>
            <w:tcW w:w="3525" w:type="dxa"/>
            <w:gridSpan w:val="4"/>
            <w:noWrap w:val="0"/>
            <w:vAlign w:val="center"/>
          </w:tcPr>
          <w:p>
            <w:pPr>
              <w:rPr>
                <w:rFonts w:hint="eastAsia" w:ascii="宋体" w:hAnsi="宋体"/>
                <w:color w:val="auto"/>
                <w:szCs w:val="21"/>
              </w:rPr>
            </w:pPr>
            <w:r>
              <w:rPr>
                <w:rFonts w:hint="eastAsia" w:ascii="宋体" w:hAnsi="宋体"/>
                <w:color w:val="auto"/>
                <w:szCs w:val="21"/>
              </w:rPr>
              <w:t>结构件采用销轴连接时，其规格及数量应符合使用说明书或设计方案的要求。销轴不得有缺件、可见裂纹、严重磨损等缺陷，其轴向定位装置应规范、可靠。</w:t>
            </w:r>
          </w:p>
        </w:tc>
        <w:tc>
          <w:tcPr>
            <w:tcW w:w="1200" w:type="dxa"/>
            <w:noWrap w:val="0"/>
            <w:vAlign w:val="center"/>
          </w:tcPr>
          <w:p>
            <w:pPr>
              <w:jc w:val="center"/>
              <w:rPr>
                <w:rFonts w:ascii="宋体" w:hAnsi="宋体"/>
                <w:color w:val="auto"/>
              </w:rPr>
            </w:pPr>
          </w:p>
        </w:tc>
        <w:tc>
          <w:tcPr>
            <w:tcW w:w="1095" w:type="dxa"/>
            <w:noWrap w:val="0"/>
            <w:vAlign w:val="center"/>
          </w:tcPr>
          <w:p>
            <w:pPr>
              <w:jc w:val="center"/>
              <w:rPr>
                <w:rFonts w:ascii="宋体" w:hAnsi="宋体"/>
                <w:color w:val="auto"/>
              </w:rPr>
            </w:pPr>
            <w:r>
              <w:rPr>
                <w:rFonts w:hint="eastAsia" w:ascii="宋体" w:hAnsi="宋体"/>
                <w:color w:val="auto"/>
              </w:rPr>
              <w:t>销轴磨损严重，开裂可以整改，未穿开口销的</w:t>
            </w:r>
          </w:p>
        </w:tc>
        <w:tc>
          <w:tcPr>
            <w:tcW w:w="1290" w:type="dxa"/>
            <w:noWrap w:val="0"/>
            <w:vAlign w:val="center"/>
          </w:tcPr>
          <w:p>
            <w:pPr>
              <w:jc w:val="center"/>
              <w:rPr>
                <w:rFonts w:ascii="宋体" w:hAnsi="宋体"/>
                <w:color w:val="auto"/>
              </w:rPr>
            </w:pPr>
            <w:r>
              <w:rPr>
                <w:rFonts w:hint="eastAsia" w:ascii="宋体" w:hAnsi="宋体"/>
                <w:color w:val="auto"/>
              </w:rPr>
              <w:t>轻微磨损，或者开口销缺退，开口角度不规范的</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right"/>
        </w:trPr>
        <w:tc>
          <w:tcPr>
            <w:tcW w:w="534" w:type="dxa"/>
            <w:noWrap w:val="0"/>
            <w:vAlign w:val="center"/>
          </w:tcPr>
          <w:p>
            <w:pPr>
              <w:jc w:val="center"/>
              <w:rPr>
                <w:rFonts w:hint="eastAsia" w:ascii="宋体" w:hAnsi="宋体"/>
                <w:color w:val="auto"/>
              </w:rPr>
            </w:pPr>
            <w:r>
              <w:rPr>
                <w:rFonts w:hint="eastAsia" w:ascii="宋体" w:hAnsi="宋体"/>
                <w:color w:val="auto"/>
              </w:rPr>
              <w:t>★</w:t>
            </w:r>
          </w:p>
          <w:p>
            <w:pPr>
              <w:jc w:val="center"/>
              <w:rPr>
                <w:rFonts w:hint="eastAsia" w:ascii="宋体" w:hAnsi="宋体"/>
                <w:color w:val="auto"/>
              </w:rPr>
            </w:pPr>
            <w:r>
              <w:rPr>
                <w:rFonts w:hint="eastAsia" w:ascii="宋体" w:hAnsi="宋体"/>
                <w:color w:val="auto"/>
              </w:rPr>
              <w:t>55</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2.3.3</w:t>
            </w:r>
          </w:p>
          <w:p>
            <w:pPr>
              <w:jc w:val="center"/>
              <w:rPr>
                <w:rFonts w:hint="eastAsia" w:ascii="宋体" w:hAnsi="宋体"/>
                <w:color w:val="auto"/>
              </w:rPr>
            </w:pPr>
            <w:r>
              <w:rPr>
                <w:rFonts w:hint="eastAsia" w:ascii="宋体" w:hAnsi="宋体"/>
                <w:color w:val="auto"/>
              </w:rPr>
              <w:t>高强度</w:t>
            </w:r>
            <w:r>
              <w:rPr>
                <w:rFonts w:hint="eastAsia" w:ascii="宋体" w:hAnsi="宋体"/>
                <w:color w:val="auto"/>
                <w:spacing w:val="-20"/>
                <w:szCs w:val="21"/>
              </w:rPr>
              <w:t>螺栓连接</w:t>
            </w:r>
          </w:p>
        </w:tc>
        <w:tc>
          <w:tcPr>
            <w:tcW w:w="3525" w:type="dxa"/>
            <w:gridSpan w:val="4"/>
            <w:noWrap w:val="0"/>
            <w:vAlign w:val="center"/>
          </w:tcPr>
          <w:p>
            <w:pPr>
              <w:rPr>
                <w:rFonts w:hint="eastAsia" w:ascii="宋体" w:hAnsi="宋体"/>
                <w:color w:val="auto"/>
                <w:spacing w:val="-4"/>
                <w:szCs w:val="21"/>
              </w:rPr>
            </w:pPr>
            <w:r>
              <w:rPr>
                <w:rFonts w:hint="eastAsia" w:ascii="宋体" w:hAnsi="宋体"/>
                <w:color w:val="auto"/>
                <w:spacing w:val="-4"/>
                <w:szCs w:val="21"/>
              </w:rPr>
              <w:t>主要受力结构件的螺栓连接部位应采用高强度螺栓，高强度螺栓应有性能等级标志，其型号、规格及数量应符合塔机使用说明书的要求，且无缺件、裂纹等缺陷。高强度螺栓连接时，应采用扭矩扳手或专用扳手按装配技术要求拧紧，螺杆螺纹露出部分应为2～3扣。</w:t>
            </w:r>
          </w:p>
        </w:tc>
        <w:tc>
          <w:tcPr>
            <w:tcW w:w="1200" w:type="dxa"/>
            <w:noWrap w:val="0"/>
            <w:vAlign w:val="center"/>
          </w:tcPr>
          <w:p>
            <w:pPr>
              <w:jc w:val="center"/>
              <w:rPr>
                <w:rFonts w:ascii="宋体" w:hAnsi="宋体"/>
                <w:color w:val="auto"/>
              </w:rPr>
            </w:pPr>
          </w:p>
        </w:tc>
        <w:tc>
          <w:tcPr>
            <w:tcW w:w="1095" w:type="dxa"/>
            <w:noWrap w:val="0"/>
            <w:vAlign w:val="center"/>
          </w:tcPr>
          <w:p>
            <w:pPr>
              <w:jc w:val="center"/>
              <w:rPr>
                <w:rFonts w:ascii="宋体" w:hAnsi="宋体"/>
                <w:color w:val="auto"/>
              </w:rPr>
            </w:pPr>
            <w:r>
              <w:rPr>
                <w:rFonts w:hint="eastAsia" w:ascii="宋体" w:hAnsi="宋体"/>
                <w:color w:val="auto"/>
              </w:rPr>
              <w:t>3个及以上螺栓存在缺陷，或者缺高强度螺栓的</w:t>
            </w:r>
          </w:p>
        </w:tc>
        <w:tc>
          <w:tcPr>
            <w:tcW w:w="1290" w:type="dxa"/>
            <w:noWrap w:val="0"/>
            <w:vAlign w:val="center"/>
          </w:tcPr>
          <w:p>
            <w:pPr>
              <w:jc w:val="center"/>
              <w:rPr>
                <w:rFonts w:hint="eastAsia" w:ascii="宋体" w:hAnsi="宋体"/>
                <w:color w:val="auto"/>
              </w:rPr>
            </w:pPr>
            <w:r>
              <w:rPr>
                <w:rFonts w:hint="eastAsia" w:ascii="宋体" w:hAnsi="宋体"/>
                <w:color w:val="auto"/>
              </w:rPr>
              <w:t>个别螺栓存在缺陷</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56</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2.3.4</w:t>
            </w:r>
          </w:p>
          <w:p>
            <w:pPr>
              <w:jc w:val="center"/>
              <w:rPr>
                <w:rFonts w:hint="eastAsia" w:ascii="宋体" w:hAnsi="宋体"/>
                <w:color w:val="auto"/>
              </w:rPr>
            </w:pPr>
            <w:r>
              <w:rPr>
                <w:rFonts w:hint="eastAsia" w:ascii="宋体" w:hAnsi="宋体"/>
                <w:color w:val="auto"/>
              </w:rPr>
              <w:t>普通螺栓连接</w:t>
            </w:r>
          </w:p>
        </w:tc>
        <w:tc>
          <w:tcPr>
            <w:tcW w:w="3525" w:type="dxa"/>
            <w:gridSpan w:val="4"/>
            <w:noWrap w:val="0"/>
            <w:vAlign w:val="center"/>
          </w:tcPr>
          <w:p>
            <w:pPr>
              <w:rPr>
                <w:rFonts w:hint="eastAsia" w:ascii="宋体" w:hAnsi="宋体"/>
                <w:color w:val="auto"/>
              </w:rPr>
            </w:pPr>
            <w:r>
              <w:rPr>
                <w:rFonts w:hint="eastAsia" w:ascii="宋体" w:hAnsi="宋体"/>
                <w:color w:val="auto"/>
                <w:szCs w:val="21"/>
              </w:rPr>
              <w:t>结构件连接采用普通螺栓时，其规格、型号及数量应符合塔机使用说明书或设计方案的要求，且无缺件、损坏等缺陷。</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right"/>
        </w:trPr>
        <w:tc>
          <w:tcPr>
            <w:tcW w:w="534" w:type="dxa"/>
            <w:noWrap w:val="0"/>
            <w:vAlign w:val="center"/>
          </w:tcPr>
          <w:p>
            <w:pPr>
              <w:jc w:val="center"/>
              <w:rPr>
                <w:rFonts w:hint="eastAsia" w:ascii="宋体" w:hAnsi="宋体"/>
                <w:color w:val="auto"/>
              </w:rPr>
            </w:pPr>
            <w:r>
              <w:rPr>
                <w:rFonts w:hint="eastAsia" w:ascii="宋体" w:hAnsi="宋体"/>
                <w:color w:val="auto"/>
              </w:rPr>
              <w:t>★</w:t>
            </w:r>
          </w:p>
          <w:p>
            <w:pPr>
              <w:jc w:val="center"/>
              <w:rPr>
                <w:rFonts w:hint="eastAsia" w:ascii="宋体" w:hAnsi="宋体"/>
                <w:color w:val="auto"/>
              </w:rPr>
            </w:pPr>
            <w:r>
              <w:rPr>
                <w:rFonts w:hint="eastAsia" w:ascii="宋体" w:hAnsi="宋体"/>
                <w:color w:val="auto"/>
              </w:rPr>
              <w:t>57</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spacing w:line="280" w:lineRule="exact"/>
              <w:jc w:val="center"/>
              <w:rPr>
                <w:rFonts w:hint="eastAsia" w:ascii="宋体" w:hAnsi="宋体"/>
                <w:color w:val="auto"/>
              </w:rPr>
            </w:pPr>
            <w:r>
              <w:rPr>
                <w:rFonts w:hint="eastAsia" w:ascii="宋体" w:hAnsi="宋体"/>
                <w:color w:val="auto"/>
              </w:rPr>
              <w:t>2.3.5</w:t>
            </w:r>
          </w:p>
          <w:p>
            <w:pPr>
              <w:spacing w:line="280" w:lineRule="exact"/>
              <w:jc w:val="center"/>
              <w:rPr>
                <w:rFonts w:hint="eastAsia" w:ascii="宋体" w:hAnsi="宋体"/>
                <w:color w:val="auto"/>
              </w:rPr>
            </w:pPr>
            <w:r>
              <w:rPr>
                <w:rFonts w:hint="eastAsia" w:ascii="宋体" w:hAnsi="宋体"/>
                <w:color w:val="auto"/>
              </w:rPr>
              <w:t>司机室</w:t>
            </w:r>
            <w:r>
              <w:rPr>
                <w:rFonts w:hint="eastAsia" w:ascii="宋体" w:hAnsi="宋体"/>
                <w:color w:val="auto"/>
                <w:spacing w:val="-20"/>
                <w:szCs w:val="21"/>
              </w:rPr>
              <w:t>安装固定</w:t>
            </w:r>
          </w:p>
        </w:tc>
        <w:tc>
          <w:tcPr>
            <w:tcW w:w="3525" w:type="dxa"/>
            <w:gridSpan w:val="4"/>
            <w:noWrap w:val="0"/>
            <w:vAlign w:val="center"/>
          </w:tcPr>
          <w:p>
            <w:pPr>
              <w:rPr>
                <w:rFonts w:hint="eastAsia" w:ascii="宋体" w:hAnsi="宋体"/>
                <w:color w:val="auto"/>
                <w:szCs w:val="21"/>
              </w:rPr>
            </w:pPr>
            <w:r>
              <w:rPr>
                <w:rFonts w:hint="eastAsia" w:ascii="宋体" w:hAnsi="宋体"/>
                <w:color w:val="auto"/>
                <w:szCs w:val="21"/>
              </w:rPr>
              <w:t>司机室与悬挂或支承部分的连接必须牢固。可移动的司机室必须设有可靠的安全锁止装置。</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right"/>
        </w:trPr>
        <w:tc>
          <w:tcPr>
            <w:tcW w:w="534" w:type="dxa"/>
            <w:noWrap w:val="0"/>
            <w:vAlign w:val="center"/>
          </w:tcPr>
          <w:p>
            <w:pPr>
              <w:jc w:val="center"/>
              <w:rPr>
                <w:rFonts w:hint="eastAsia" w:ascii="宋体" w:hAnsi="宋体"/>
                <w:color w:val="auto"/>
              </w:rPr>
            </w:pPr>
            <w:r>
              <w:rPr>
                <w:rFonts w:hint="eastAsia" w:ascii="宋体" w:hAnsi="宋体"/>
                <w:color w:val="auto"/>
              </w:rPr>
              <w:t>58</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2.3.6</w:t>
            </w:r>
          </w:p>
          <w:p>
            <w:pPr>
              <w:jc w:val="center"/>
              <w:rPr>
                <w:rFonts w:hint="eastAsia" w:ascii="宋体" w:hAnsi="宋体"/>
                <w:color w:val="auto"/>
              </w:rPr>
            </w:pPr>
            <w:r>
              <w:rPr>
                <w:rFonts w:hint="eastAsia" w:ascii="宋体" w:hAnsi="宋体"/>
                <w:color w:val="auto"/>
              </w:rPr>
              <w:t>互换性</w:t>
            </w:r>
          </w:p>
        </w:tc>
        <w:tc>
          <w:tcPr>
            <w:tcW w:w="3525" w:type="dxa"/>
            <w:gridSpan w:val="4"/>
            <w:noWrap w:val="0"/>
            <w:vAlign w:val="center"/>
          </w:tcPr>
          <w:p>
            <w:pPr>
              <w:rPr>
                <w:rFonts w:hint="eastAsia" w:ascii="宋体" w:hAnsi="宋体"/>
                <w:color w:val="auto"/>
                <w:szCs w:val="21"/>
              </w:rPr>
            </w:pPr>
            <w:r>
              <w:rPr>
                <w:rFonts w:hint="eastAsia" w:ascii="宋体" w:hAnsi="宋体"/>
                <w:color w:val="auto"/>
                <w:szCs w:val="21"/>
              </w:rPr>
              <w:t>同规格塔身标准节应能任意组装。主肢结合处外表面阶差应≤2mm。</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restart"/>
            <w:noWrap w:val="0"/>
            <w:vAlign w:val="center"/>
          </w:tcPr>
          <w:p>
            <w:pPr>
              <w:jc w:val="center"/>
              <w:rPr>
                <w:rFonts w:hint="eastAsia" w:ascii="宋体" w:hAnsi="宋体"/>
                <w:color w:val="auto"/>
              </w:rPr>
            </w:pPr>
            <w:r>
              <w:rPr>
                <w:rFonts w:hint="eastAsia" w:ascii="宋体" w:hAnsi="宋体"/>
                <w:color w:val="auto"/>
              </w:rPr>
              <w:t>★59</w:t>
            </w:r>
          </w:p>
        </w:tc>
        <w:tc>
          <w:tcPr>
            <w:tcW w:w="678" w:type="dxa"/>
            <w:vMerge w:val="continue"/>
            <w:noWrap w:val="0"/>
            <w:vAlign w:val="center"/>
          </w:tcPr>
          <w:p>
            <w:pPr>
              <w:jc w:val="center"/>
              <w:rPr>
                <w:rFonts w:hint="eastAsia" w:ascii="宋体" w:hAnsi="宋体"/>
                <w:color w:val="auto"/>
              </w:rPr>
            </w:pPr>
          </w:p>
        </w:tc>
        <w:tc>
          <w:tcPr>
            <w:tcW w:w="915" w:type="dxa"/>
            <w:vMerge w:val="restart"/>
            <w:noWrap w:val="0"/>
            <w:vAlign w:val="center"/>
          </w:tcPr>
          <w:p>
            <w:pPr>
              <w:jc w:val="center"/>
              <w:rPr>
                <w:rFonts w:hint="eastAsia" w:ascii="宋体" w:hAnsi="宋体"/>
                <w:color w:val="auto"/>
              </w:rPr>
            </w:pPr>
            <w:r>
              <w:rPr>
                <w:rFonts w:hint="eastAsia" w:ascii="宋体" w:hAnsi="宋体"/>
                <w:color w:val="auto"/>
              </w:rPr>
              <w:t>2.3.7</w:t>
            </w:r>
          </w:p>
          <w:p>
            <w:pPr>
              <w:jc w:val="center"/>
              <w:rPr>
                <w:rFonts w:hint="eastAsia" w:ascii="宋体" w:hAnsi="宋体"/>
                <w:color w:val="auto"/>
              </w:rPr>
            </w:pPr>
            <w:r>
              <w:rPr>
                <w:rFonts w:hint="eastAsia" w:ascii="宋体" w:hAnsi="宋体"/>
                <w:color w:val="auto"/>
                <w:spacing w:val="-20"/>
                <w:szCs w:val="21"/>
              </w:rPr>
              <w:t>部件替换</w:t>
            </w:r>
          </w:p>
        </w:tc>
        <w:tc>
          <w:tcPr>
            <w:tcW w:w="3525" w:type="dxa"/>
            <w:gridSpan w:val="4"/>
            <w:noWrap w:val="0"/>
            <w:vAlign w:val="center"/>
          </w:tcPr>
          <w:p>
            <w:pPr>
              <w:rPr>
                <w:rFonts w:hint="eastAsia" w:ascii="宋体" w:hAnsi="宋体"/>
                <w:color w:val="auto"/>
                <w:szCs w:val="21"/>
              </w:rPr>
            </w:pPr>
            <w:r>
              <w:rPr>
                <w:rFonts w:hint="eastAsia" w:ascii="宋体" w:hAnsi="宋体"/>
                <w:color w:val="auto"/>
                <w:szCs w:val="21"/>
              </w:rPr>
              <w:t>只有经过制造厂的正式书面许可，不同型号塔机间的结构部件才可替换使用。</w:t>
            </w:r>
          </w:p>
        </w:tc>
        <w:tc>
          <w:tcPr>
            <w:tcW w:w="1200" w:type="dxa"/>
            <w:noWrap w:val="0"/>
            <w:vAlign w:val="center"/>
          </w:tcPr>
          <w:p>
            <w:pPr>
              <w:jc w:val="center"/>
              <w:rPr>
                <w:rFonts w:ascii="宋体" w:hAnsi="宋体"/>
                <w:color w:val="auto"/>
              </w:rPr>
            </w:pPr>
            <w:r>
              <w:rPr>
                <w:rFonts w:hint="eastAsia" w:ascii="宋体" w:hAnsi="宋体"/>
                <w:color w:val="auto"/>
              </w:rPr>
              <w:t>同厂家不同型号的结构件替换使用，厂家不许可的</w:t>
            </w:r>
          </w:p>
        </w:tc>
        <w:tc>
          <w:tcPr>
            <w:tcW w:w="1095" w:type="dxa"/>
            <w:noWrap w:val="0"/>
            <w:vAlign w:val="center"/>
          </w:tcPr>
          <w:p>
            <w:pPr>
              <w:jc w:val="center"/>
              <w:rPr>
                <w:rFonts w:ascii="宋体" w:hAnsi="宋体"/>
                <w:color w:val="auto"/>
              </w:rPr>
            </w:pPr>
            <w:r>
              <w:rPr>
                <w:rFonts w:hint="eastAsia" w:ascii="宋体" w:hAnsi="宋体"/>
                <w:color w:val="auto"/>
              </w:rPr>
              <w:t>同厂家不同型号的结构件替换使用，厂家补充书面许可的</w:t>
            </w:r>
          </w:p>
        </w:tc>
        <w:tc>
          <w:tcPr>
            <w:tcW w:w="1290" w:type="dxa"/>
            <w:noWrap w:val="0"/>
            <w:vAlign w:val="center"/>
          </w:tcPr>
          <w:p>
            <w:pPr>
              <w:jc w:val="center"/>
              <w:rPr>
                <w:rFonts w:ascii="宋体" w:hAnsi="宋体"/>
                <w:color w:val="auto"/>
              </w:rPr>
            </w:pPr>
          </w:p>
        </w:tc>
        <w:tc>
          <w:tcPr>
            <w:tcW w:w="1014" w:type="dxa"/>
            <w:noWrap w:val="0"/>
            <w:vAlign w:val="center"/>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szCs w:val="21"/>
              </w:rPr>
            </w:pPr>
            <w:r>
              <w:rPr>
                <w:rFonts w:hint="eastAsia" w:ascii="宋体" w:hAnsi="宋体"/>
                <w:color w:val="auto"/>
                <w:szCs w:val="21"/>
              </w:rPr>
              <w:t>不同制造厂的塔机结构部件禁止替换使用。</w:t>
            </w:r>
          </w:p>
        </w:tc>
        <w:tc>
          <w:tcPr>
            <w:tcW w:w="1200" w:type="dxa"/>
            <w:noWrap w:val="0"/>
            <w:vAlign w:val="center"/>
          </w:tcPr>
          <w:p>
            <w:pPr>
              <w:jc w:val="center"/>
              <w:rPr>
                <w:rFonts w:ascii="宋体" w:hAnsi="宋体"/>
                <w:color w:val="auto"/>
              </w:rPr>
            </w:pPr>
            <w:r>
              <w:rPr>
                <w:rFonts w:hint="eastAsia" w:ascii="宋体" w:hAnsi="宋体"/>
                <w:color w:val="auto"/>
              </w:rPr>
              <w:t>不同厂家的结构件替换使用，主机厂不认可的</w:t>
            </w: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jc w:val="right"/>
        </w:trPr>
        <w:tc>
          <w:tcPr>
            <w:tcW w:w="534" w:type="dxa"/>
            <w:noWrap w:val="0"/>
            <w:vAlign w:val="center"/>
          </w:tcPr>
          <w:p>
            <w:pPr>
              <w:jc w:val="center"/>
              <w:rPr>
                <w:rFonts w:hint="eastAsia" w:ascii="宋体" w:hAnsi="宋体"/>
                <w:color w:val="auto"/>
              </w:rPr>
            </w:pPr>
            <w:r>
              <w:rPr>
                <w:rFonts w:hint="eastAsia" w:ascii="宋体" w:hAnsi="宋体"/>
                <w:color w:val="auto"/>
              </w:rPr>
              <w:t>★60</w:t>
            </w:r>
          </w:p>
        </w:tc>
        <w:tc>
          <w:tcPr>
            <w:tcW w:w="678" w:type="dxa"/>
            <w:vMerge w:val="restart"/>
            <w:noWrap w:val="0"/>
            <w:vAlign w:val="center"/>
          </w:tcPr>
          <w:p>
            <w:pPr>
              <w:jc w:val="center"/>
              <w:rPr>
                <w:rFonts w:hint="eastAsia" w:ascii="宋体" w:hAnsi="宋体"/>
                <w:color w:val="auto"/>
              </w:rPr>
            </w:pPr>
            <w:r>
              <w:rPr>
                <w:rFonts w:hint="eastAsia" w:ascii="宋体" w:hAnsi="宋体"/>
                <w:color w:val="auto"/>
              </w:rPr>
              <w:t>2.4</w:t>
            </w:r>
          </w:p>
          <w:p>
            <w:pPr>
              <w:jc w:val="center"/>
              <w:rPr>
                <w:rFonts w:hint="eastAsia" w:ascii="宋体" w:hAnsi="宋体"/>
                <w:color w:val="auto"/>
              </w:rPr>
            </w:pPr>
            <w:r>
              <w:rPr>
                <w:rFonts w:hint="eastAsia" w:ascii="宋体" w:hAnsi="宋体"/>
                <w:color w:val="auto"/>
              </w:rPr>
              <w:t>附着装置</w:t>
            </w:r>
          </w:p>
        </w:tc>
        <w:tc>
          <w:tcPr>
            <w:tcW w:w="915" w:type="dxa"/>
            <w:noWrap w:val="0"/>
            <w:vAlign w:val="center"/>
          </w:tcPr>
          <w:p>
            <w:pPr>
              <w:jc w:val="center"/>
              <w:rPr>
                <w:rFonts w:hint="eastAsia" w:ascii="宋体" w:hAnsi="宋体"/>
                <w:color w:val="auto"/>
              </w:rPr>
            </w:pPr>
            <w:r>
              <w:rPr>
                <w:rFonts w:hint="eastAsia" w:ascii="宋体" w:hAnsi="宋体"/>
                <w:color w:val="auto"/>
              </w:rPr>
              <w:t>2.4.1</w:t>
            </w:r>
          </w:p>
          <w:p>
            <w:pPr>
              <w:jc w:val="center"/>
              <w:rPr>
                <w:rFonts w:hint="eastAsia" w:ascii="宋体" w:hAnsi="宋体"/>
                <w:color w:val="auto"/>
              </w:rPr>
            </w:pPr>
            <w:r>
              <w:rPr>
                <w:rFonts w:hint="eastAsia" w:ascii="宋体" w:hAnsi="宋体"/>
                <w:color w:val="auto"/>
              </w:rPr>
              <w:t>附着方案及尺寸参数</w:t>
            </w:r>
          </w:p>
        </w:tc>
        <w:tc>
          <w:tcPr>
            <w:tcW w:w="3525" w:type="dxa"/>
            <w:gridSpan w:val="4"/>
            <w:noWrap w:val="0"/>
            <w:vAlign w:val="center"/>
          </w:tcPr>
          <w:p>
            <w:pPr>
              <w:spacing w:line="260" w:lineRule="exact"/>
              <w:rPr>
                <w:rFonts w:hint="eastAsia" w:ascii="宋体" w:hAnsi="宋体"/>
                <w:color w:val="auto"/>
                <w:szCs w:val="21"/>
              </w:rPr>
            </w:pPr>
            <w:r>
              <w:rPr>
                <w:rFonts w:hint="eastAsia" w:ascii="宋体" w:hAnsi="宋体"/>
                <w:color w:val="auto"/>
                <w:szCs w:val="21"/>
              </w:rPr>
              <w:t>塔机需要附着使用时，必须根据说明书的要求制定方案，并按方案进行附着。附着方案应包括下列内容：</w:t>
            </w:r>
          </w:p>
          <w:p>
            <w:pPr>
              <w:spacing w:line="260" w:lineRule="exact"/>
              <w:rPr>
                <w:rFonts w:hint="eastAsia" w:ascii="宋体" w:hAnsi="宋体"/>
                <w:color w:val="auto"/>
                <w:szCs w:val="21"/>
              </w:rPr>
            </w:pPr>
            <w:r>
              <w:rPr>
                <w:rFonts w:hint="eastAsia" w:ascii="宋体" w:hAnsi="宋体"/>
                <w:color w:val="auto"/>
                <w:szCs w:val="21"/>
              </w:rPr>
              <w:t>(1)附着距离；(2)各道附着装置之间的距离；(3)附着杆系的布置方式；(4)与建筑物的连接形式；(5)塔身高出最高附着点的悬臂高度；(6)附着结构和附着物的承载能力校核；(7)附着结构与附着物各连接件、预埋件大样图；(8)其它特殊要求。</w:t>
            </w:r>
          </w:p>
        </w:tc>
        <w:tc>
          <w:tcPr>
            <w:tcW w:w="1200" w:type="dxa"/>
            <w:noWrap w:val="0"/>
            <w:vAlign w:val="center"/>
          </w:tcPr>
          <w:p>
            <w:pPr>
              <w:jc w:val="center"/>
              <w:rPr>
                <w:rFonts w:ascii="宋体" w:hAnsi="宋体"/>
                <w:color w:val="auto"/>
              </w:rPr>
            </w:pPr>
          </w:p>
        </w:tc>
        <w:tc>
          <w:tcPr>
            <w:tcW w:w="1095" w:type="dxa"/>
            <w:noWrap w:val="0"/>
            <w:vAlign w:val="center"/>
          </w:tcPr>
          <w:p>
            <w:pPr>
              <w:rPr>
                <w:rFonts w:hint="eastAsia" w:ascii="宋体" w:hAnsi="宋体"/>
                <w:color w:val="auto"/>
              </w:rPr>
            </w:pPr>
            <w:r>
              <w:rPr>
                <w:rFonts w:hint="eastAsia" w:ascii="宋体" w:hAnsi="宋体"/>
                <w:color w:val="auto"/>
              </w:rPr>
              <w:t>未按要制定方案，未按要求附着的。（达到条件的附墙装置需按照《广东省危大工程实施细则》组织专家论证）</w:t>
            </w:r>
          </w:p>
        </w:tc>
        <w:tc>
          <w:tcPr>
            <w:tcW w:w="1290" w:type="dxa"/>
            <w:noWrap w:val="0"/>
            <w:vAlign w:val="center"/>
          </w:tcPr>
          <w:p>
            <w:pPr>
              <w:jc w:val="center"/>
              <w:rPr>
                <w:rFonts w:ascii="宋体" w:hAnsi="宋体"/>
                <w:color w:val="auto"/>
              </w:rPr>
            </w:pPr>
            <w:r>
              <w:rPr>
                <w:rFonts w:hint="eastAsia" w:ascii="宋体" w:hAnsi="宋体"/>
                <w:color w:val="auto"/>
              </w:rPr>
              <w:t>现场附着距离，附着间距等符合要求，附着装置与附着物连接无明显异常，仅仅是缺少附着物承载力校核，通未对过补充完善承载力校核，补充完善方案即可</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right"/>
        </w:trPr>
        <w:tc>
          <w:tcPr>
            <w:tcW w:w="534" w:type="dxa"/>
            <w:noWrap w:val="0"/>
            <w:vAlign w:val="center"/>
          </w:tcPr>
          <w:p>
            <w:pPr>
              <w:jc w:val="center"/>
              <w:rPr>
                <w:rFonts w:hint="eastAsia" w:ascii="宋体" w:hAnsi="宋体"/>
                <w:color w:val="auto"/>
              </w:rPr>
            </w:pPr>
            <w:r>
              <w:rPr>
                <w:rFonts w:hint="eastAsia" w:ascii="宋体" w:hAnsi="宋体"/>
                <w:color w:val="auto"/>
              </w:rPr>
              <w:t>★61</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2.4.2</w:t>
            </w:r>
          </w:p>
          <w:p>
            <w:pPr>
              <w:jc w:val="center"/>
              <w:rPr>
                <w:rFonts w:hint="eastAsia" w:ascii="宋体" w:hAnsi="宋体"/>
                <w:color w:val="auto"/>
                <w:spacing w:val="-20"/>
                <w:szCs w:val="21"/>
              </w:rPr>
            </w:pPr>
            <w:r>
              <w:rPr>
                <w:rFonts w:hint="eastAsia" w:ascii="宋体" w:hAnsi="宋体"/>
                <w:color w:val="auto"/>
                <w:spacing w:val="-20"/>
                <w:szCs w:val="21"/>
              </w:rPr>
              <w:t>附着装置制造证明</w:t>
            </w:r>
          </w:p>
        </w:tc>
        <w:tc>
          <w:tcPr>
            <w:tcW w:w="3525" w:type="dxa"/>
            <w:gridSpan w:val="4"/>
            <w:noWrap w:val="0"/>
            <w:vAlign w:val="center"/>
          </w:tcPr>
          <w:p>
            <w:pPr>
              <w:rPr>
                <w:rFonts w:hint="eastAsia" w:ascii="宋体" w:hAnsi="宋体"/>
                <w:color w:val="auto"/>
                <w:szCs w:val="21"/>
              </w:rPr>
            </w:pPr>
            <w:r>
              <w:rPr>
                <w:rFonts w:hint="eastAsia" w:ascii="宋体" w:hAnsi="宋体"/>
                <w:color w:val="auto"/>
                <w:szCs w:val="21"/>
              </w:rPr>
              <w:t>在塔机上安装的附着框架、附着杆应有原制造厂的制造证明。特殊情况，需要另行制造时，应有专业制造厂开具的制造证明，且其资质等级不应低于原制造厂。</w:t>
            </w:r>
          </w:p>
        </w:tc>
        <w:tc>
          <w:tcPr>
            <w:tcW w:w="1200" w:type="dxa"/>
            <w:noWrap w:val="0"/>
            <w:vAlign w:val="center"/>
          </w:tcPr>
          <w:p>
            <w:pPr>
              <w:jc w:val="center"/>
              <w:rPr>
                <w:rFonts w:ascii="宋体" w:hAnsi="宋体"/>
                <w:color w:val="auto"/>
              </w:rPr>
            </w:pPr>
          </w:p>
        </w:tc>
        <w:tc>
          <w:tcPr>
            <w:tcW w:w="1095" w:type="dxa"/>
            <w:noWrap w:val="0"/>
            <w:vAlign w:val="center"/>
          </w:tcPr>
          <w:p>
            <w:pPr>
              <w:jc w:val="center"/>
              <w:rPr>
                <w:rFonts w:ascii="宋体" w:hAnsi="宋体"/>
                <w:color w:val="auto"/>
              </w:rPr>
            </w:pPr>
            <w:r>
              <w:rPr>
                <w:rFonts w:hint="eastAsia" w:ascii="宋体" w:hAnsi="宋体"/>
                <w:color w:val="auto"/>
              </w:rPr>
              <w:t>附着装置形式多种样式，结构尺寸不一致，无厂家认可资料，无对应的合格证明，制造厂家无资质</w:t>
            </w:r>
          </w:p>
        </w:tc>
        <w:tc>
          <w:tcPr>
            <w:tcW w:w="1290" w:type="dxa"/>
            <w:noWrap w:val="0"/>
            <w:vAlign w:val="center"/>
          </w:tcPr>
          <w:p>
            <w:pPr>
              <w:jc w:val="center"/>
              <w:rPr>
                <w:rFonts w:ascii="宋体" w:hAnsi="宋体"/>
                <w:color w:val="auto"/>
              </w:rPr>
            </w:pPr>
            <w:r>
              <w:rPr>
                <w:rFonts w:hint="eastAsia" w:ascii="宋体" w:hAnsi="宋体"/>
                <w:color w:val="auto"/>
              </w:rPr>
              <w:t>附着装置形式与说明书一致，现场未提供合格证明，即补充提供合格证明即可</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restart"/>
            <w:noWrap w:val="0"/>
            <w:vAlign w:val="center"/>
          </w:tcPr>
          <w:p>
            <w:pPr>
              <w:jc w:val="center"/>
              <w:rPr>
                <w:rFonts w:hint="eastAsia" w:ascii="宋体" w:hAnsi="宋体"/>
                <w:color w:val="auto"/>
              </w:rPr>
            </w:pPr>
            <w:r>
              <w:rPr>
                <w:rFonts w:hint="eastAsia" w:ascii="宋体" w:hAnsi="宋体"/>
                <w:color w:val="auto"/>
              </w:rPr>
              <w:t>★62</w:t>
            </w:r>
          </w:p>
        </w:tc>
        <w:tc>
          <w:tcPr>
            <w:tcW w:w="678" w:type="dxa"/>
            <w:vMerge w:val="restart"/>
            <w:noWrap w:val="0"/>
            <w:vAlign w:val="center"/>
          </w:tcPr>
          <w:p>
            <w:pPr>
              <w:jc w:val="center"/>
              <w:rPr>
                <w:rFonts w:hint="eastAsia" w:ascii="宋体" w:hAnsi="宋体"/>
                <w:color w:val="auto"/>
              </w:rPr>
            </w:pPr>
            <w:r>
              <w:rPr>
                <w:rFonts w:hint="eastAsia" w:ascii="宋体" w:hAnsi="宋体"/>
                <w:color w:val="auto"/>
              </w:rPr>
              <w:t>2.4</w:t>
            </w:r>
          </w:p>
          <w:p>
            <w:pPr>
              <w:jc w:val="center"/>
              <w:rPr>
                <w:rFonts w:hint="eastAsia" w:ascii="宋体" w:hAnsi="宋体"/>
                <w:color w:val="auto"/>
              </w:rPr>
            </w:pPr>
            <w:r>
              <w:rPr>
                <w:rFonts w:hint="eastAsia" w:ascii="宋体" w:hAnsi="宋体"/>
                <w:color w:val="auto"/>
              </w:rPr>
              <w:t>附着装置</w:t>
            </w:r>
          </w:p>
        </w:tc>
        <w:tc>
          <w:tcPr>
            <w:tcW w:w="915" w:type="dxa"/>
            <w:vMerge w:val="restart"/>
            <w:noWrap w:val="0"/>
            <w:vAlign w:val="center"/>
          </w:tcPr>
          <w:p>
            <w:pPr>
              <w:jc w:val="center"/>
              <w:rPr>
                <w:rFonts w:hint="eastAsia" w:ascii="宋体" w:hAnsi="宋体"/>
                <w:color w:val="auto"/>
              </w:rPr>
            </w:pPr>
            <w:r>
              <w:rPr>
                <w:rFonts w:hint="eastAsia" w:ascii="宋体" w:hAnsi="宋体"/>
                <w:color w:val="auto"/>
              </w:rPr>
              <w:t>2.4.3</w:t>
            </w:r>
          </w:p>
          <w:p>
            <w:pPr>
              <w:jc w:val="center"/>
              <w:rPr>
                <w:rFonts w:hint="eastAsia" w:ascii="宋体" w:hAnsi="宋体"/>
                <w:color w:val="auto"/>
                <w:spacing w:val="-20"/>
                <w:szCs w:val="21"/>
              </w:rPr>
            </w:pPr>
            <w:r>
              <w:rPr>
                <w:rFonts w:hint="eastAsia" w:ascii="宋体" w:hAnsi="宋体"/>
                <w:color w:val="auto"/>
                <w:spacing w:val="-20"/>
                <w:szCs w:val="21"/>
              </w:rPr>
              <w:t>附着装置安装连接</w:t>
            </w:r>
          </w:p>
        </w:tc>
        <w:tc>
          <w:tcPr>
            <w:tcW w:w="3525" w:type="dxa"/>
            <w:gridSpan w:val="4"/>
            <w:noWrap w:val="0"/>
            <w:vAlign w:val="center"/>
          </w:tcPr>
          <w:p>
            <w:pPr>
              <w:rPr>
                <w:rFonts w:hint="eastAsia" w:ascii="宋体" w:hAnsi="宋体"/>
                <w:color w:val="auto"/>
                <w:szCs w:val="21"/>
              </w:rPr>
            </w:pPr>
            <w:r>
              <w:rPr>
                <w:rFonts w:hint="eastAsia" w:ascii="宋体" w:hAnsi="宋体"/>
                <w:color w:val="auto"/>
                <w:szCs w:val="21"/>
              </w:rPr>
              <w:t>附着装置与塔身节和附着物的安装连接必须安全可靠，各连接件如螺栓、销轴等必须齐全，不应缺件或松动，与附着杆相连接的附着物不应有裂纹或损坏。附着杆与附着物之间不应采用膨胀螺栓连接。</w:t>
            </w:r>
          </w:p>
        </w:tc>
        <w:tc>
          <w:tcPr>
            <w:tcW w:w="1200" w:type="dxa"/>
            <w:noWrap w:val="0"/>
            <w:vAlign w:val="center"/>
          </w:tcPr>
          <w:p>
            <w:pPr>
              <w:jc w:val="center"/>
              <w:rPr>
                <w:rFonts w:ascii="宋体" w:hAnsi="宋体"/>
                <w:color w:val="auto"/>
              </w:rPr>
            </w:pPr>
          </w:p>
        </w:tc>
        <w:tc>
          <w:tcPr>
            <w:tcW w:w="1095" w:type="dxa"/>
            <w:noWrap w:val="0"/>
            <w:vAlign w:val="center"/>
          </w:tcPr>
          <w:p>
            <w:pPr>
              <w:jc w:val="center"/>
              <w:rPr>
                <w:rFonts w:ascii="宋体" w:hAnsi="宋体"/>
                <w:color w:val="auto"/>
              </w:rPr>
            </w:pPr>
            <w:r>
              <w:rPr>
                <w:rFonts w:hint="eastAsia" w:ascii="宋体" w:hAnsi="宋体"/>
                <w:color w:val="auto"/>
              </w:rPr>
              <w:t>附着装置多种样式，结构尺寸不一致，无厂家认可资料，附着装置与塔身建筑物连接不可靠，现场能整改的</w:t>
            </w:r>
          </w:p>
        </w:tc>
        <w:tc>
          <w:tcPr>
            <w:tcW w:w="1290" w:type="dxa"/>
            <w:noWrap w:val="0"/>
            <w:vAlign w:val="center"/>
          </w:tcPr>
          <w:p>
            <w:pPr>
              <w:jc w:val="center"/>
              <w:rPr>
                <w:rFonts w:ascii="宋体" w:hAnsi="宋体"/>
                <w:color w:val="auto"/>
              </w:rPr>
            </w:pPr>
            <w:r>
              <w:rPr>
                <w:rFonts w:hint="eastAsia" w:ascii="宋体" w:hAnsi="宋体"/>
                <w:color w:val="auto"/>
              </w:rPr>
              <w:t>附着装置样式、结构尺寸一致的，仅仅是个别螺栓不够长，无标识、微小塑性变型，内撑杆未安装的。</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szCs w:val="21"/>
              </w:rPr>
            </w:pPr>
            <w:r>
              <w:rPr>
                <w:rFonts w:hint="eastAsia" w:ascii="宋体" w:hAnsi="宋体"/>
                <w:color w:val="auto"/>
                <w:szCs w:val="21"/>
              </w:rPr>
              <w:t>附着杆与附着物之间</w:t>
            </w:r>
            <w:r>
              <w:rPr>
                <w:rFonts w:hint="eastAsia" w:ascii="宋体" w:hAnsi="宋体" w:cs="宋体"/>
                <w:color w:val="auto"/>
                <w:szCs w:val="21"/>
              </w:rPr>
              <w:t>不宜</w:t>
            </w:r>
            <w:r>
              <w:rPr>
                <w:rFonts w:hint="eastAsia" w:ascii="宋体" w:hAnsi="宋体"/>
                <w:color w:val="auto"/>
                <w:szCs w:val="21"/>
              </w:rPr>
              <w:t>采用焊接连接的方式，当采用焊接连接时，必须提供下列资料：(1)焊工资格证书；(2)焊接工艺要求；(3)焊缝尺寸要求；(4)焊缝外观质量及无损探伤检验结果。</w:t>
            </w:r>
          </w:p>
        </w:tc>
        <w:tc>
          <w:tcPr>
            <w:tcW w:w="1200" w:type="dxa"/>
            <w:noWrap w:val="0"/>
            <w:vAlign w:val="center"/>
          </w:tcPr>
          <w:p>
            <w:pPr>
              <w:rPr>
                <w:rFonts w:ascii="宋体" w:hAnsi="宋体"/>
                <w:color w:val="auto"/>
              </w:rPr>
            </w:pPr>
          </w:p>
        </w:tc>
        <w:tc>
          <w:tcPr>
            <w:tcW w:w="1095" w:type="dxa"/>
            <w:noWrap w:val="0"/>
            <w:vAlign w:val="center"/>
          </w:tcPr>
          <w:p>
            <w:pPr>
              <w:jc w:val="center"/>
              <w:rPr>
                <w:rFonts w:ascii="宋体" w:hAnsi="宋体"/>
                <w:color w:val="auto"/>
              </w:rPr>
            </w:pPr>
            <w:r>
              <w:rPr>
                <w:rFonts w:hint="eastAsia" w:ascii="宋体" w:hAnsi="宋体"/>
                <w:color w:val="auto"/>
              </w:rPr>
              <w:t>采用焊接方式连接，缺对应资料的</w:t>
            </w:r>
          </w:p>
        </w:tc>
        <w:tc>
          <w:tcPr>
            <w:tcW w:w="1290" w:type="dxa"/>
            <w:noWrap w:val="0"/>
            <w:vAlign w:val="center"/>
          </w:tcPr>
          <w:p>
            <w:pPr>
              <w:jc w:val="center"/>
              <w:rPr>
                <w:rFonts w:ascii="宋体" w:hAnsi="宋体"/>
                <w:color w:val="auto"/>
              </w:rPr>
            </w:pPr>
            <w:r>
              <w:rPr>
                <w:rFonts w:hint="eastAsia" w:ascii="宋体" w:hAnsi="宋体"/>
                <w:color w:val="auto"/>
              </w:rPr>
              <w:t>现场外观质量可靠，有焊缝探伤检验报告，仅相关资料不完善的，按要求补充提供完善即可</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63</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2.4.4</w:t>
            </w:r>
          </w:p>
          <w:p>
            <w:pPr>
              <w:jc w:val="center"/>
              <w:rPr>
                <w:rFonts w:hint="eastAsia" w:ascii="宋体" w:hAnsi="宋体"/>
                <w:color w:val="auto"/>
                <w:spacing w:val="-20"/>
                <w:szCs w:val="21"/>
              </w:rPr>
            </w:pPr>
            <w:r>
              <w:rPr>
                <w:rFonts w:hint="eastAsia" w:ascii="宋体" w:hAnsi="宋体"/>
                <w:color w:val="auto"/>
                <w:spacing w:val="-20"/>
                <w:szCs w:val="21"/>
              </w:rPr>
              <w:t>倾斜角度</w:t>
            </w:r>
          </w:p>
        </w:tc>
        <w:tc>
          <w:tcPr>
            <w:tcW w:w="3525" w:type="dxa"/>
            <w:gridSpan w:val="4"/>
            <w:noWrap w:val="0"/>
            <w:vAlign w:val="center"/>
          </w:tcPr>
          <w:p>
            <w:pPr>
              <w:rPr>
                <w:rFonts w:hint="eastAsia" w:ascii="宋体" w:hAnsi="宋体"/>
                <w:color w:val="auto"/>
              </w:rPr>
            </w:pPr>
            <w:r>
              <w:rPr>
                <w:rFonts w:hint="eastAsia" w:ascii="宋体" w:hAnsi="宋体"/>
                <w:color w:val="auto"/>
                <w:szCs w:val="21"/>
              </w:rPr>
              <w:t>附着杆与水平面之间的倾斜角不得超过10º。</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right"/>
        </w:trPr>
        <w:tc>
          <w:tcPr>
            <w:tcW w:w="534" w:type="dxa"/>
            <w:noWrap w:val="0"/>
            <w:vAlign w:val="center"/>
          </w:tcPr>
          <w:p>
            <w:pPr>
              <w:jc w:val="center"/>
              <w:rPr>
                <w:rFonts w:hint="eastAsia" w:ascii="宋体" w:hAnsi="宋体"/>
                <w:color w:val="auto"/>
              </w:rPr>
            </w:pPr>
            <w:r>
              <w:rPr>
                <w:rFonts w:hint="eastAsia" w:ascii="宋体" w:hAnsi="宋体"/>
                <w:color w:val="auto"/>
              </w:rPr>
              <w:t>64</w:t>
            </w:r>
          </w:p>
        </w:tc>
        <w:tc>
          <w:tcPr>
            <w:tcW w:w="678" w:type="dxa"/>
            <w:vMerge w:val="restart"/>
            <w:noWrap w:val="0"/>
            <w:vAlign w:val="center"/>
          </w:tcPr>
          <w:p>
            <w:pPr>
              <w:jc w:val="center"/>
              <w:rPr>
                <w:rFonts w:hint="eastAsia" w:ascii="宋体" w:hAnsi="宋体"/>
                <w:color w:val="auto"/>
              </w:rPr>
            </w:pPr>
            <w:r>
              <w:rPr>
                <w:rFonts w:hint="eastAsia" w:ascii="宋体" w:hAnsi="宋体"/>
                <w:color w:val="auto"/>
              </w:rPr>
              <w:t>2.5</w:t>
            </w:r>
          </w:p>
          <w:p>
            <w:pPr>
              <w:jc w:val="center"/>
              <w:rPr>
                <w:rFonts w:hint="eastAsia" w:ascii="宋体" w:hAnsi="宋体"/>
                <w:color w:val="auto"/>
              </w:rPr>
            </w:pPr>
            <w:r>
              <w:rPr>
                <w:rFonts w:hint="eastAsia" w:ascii="宋体" w:hAnsi="宋体"/>
                <w:color w:val="auto"/>
              </w:rPr>
              <w:t>机构及零部件</w:t>
            </w:r>
          </w:p>
        </w:tc>
        <w:tc>
          <w:tcPr>
            <w:tcW w:w="915" w:type="dxa"/>
            <w:noWrap w:val="0"/>
            <w:vAlign w:val="center"/>
          </w:tcPr>
          <w:p>
            <w:pPr>
              <w:jc w:val="center"/>
              <w:rPr>
                <w:rFonts w:hint="eastAsia" w:ascii="宋体" w:hAnsi="宋体"/>
                <w:color w:val="auto"/>
              </w:rPr>
            </w:pPr>
            <w:r>
              <w:rPr>
                <w:rFonts w:hint="eastAsia" w:ascii="宋体" w:hAnsi="宋体"/>
                <w:color w:val="auto"/>
              </w:rPr>
              <w:t>2.5.1</w:t>
            </w:r>
          </w:p>
          <w:p>
            <w:pPr>
              <w:jc w:val="center"/>
              <w:rPr>
                <w:rFonts w:hint="eastAsia" w:ascii="宋体" w:hAnsi="宋体"/>
                <w:color w:val="auto"/>
                <w:spacing w:val="-20"/>
                <w:szCs w:val="21"/>
              </w:rPr>
            </w:pPr>
            <w:r>
              <w:rPr>
                <w:rFonts w:hint="eastAsia" w:ascii="宋体" w:hAnsi="宋体"/>
                <w:color w:val="auto"/>
                <w:spacing w:val="-20"/>
                <w:szCs w:val="21"/>
              </w:rPr>
              <w:t>吊钩固定</w:t>
            </w:r>
            <w:r>
              <w:rPr>
                <w:rFonts w:hint="eastAsia" w:ascii="宋体" w:hAnsi="宋体"/>
                <w:color w:val="auto"/>
              </w:rPr>
              <w:t>及防脱</w:t>
            </w:r>
          </w:p>
        </w:tc>
        <w:tc>
          <w:tcPr>
            <w:tcW w:w="3525" w:type="dxa"/>
            <w:gridSpan w:val="4"/>
            <w:noWrap w:val="0"/>
            <w:vAlign w:val="center"/>
          </w:tcPr>
          <w:p>
            <w:pPr>
              <w:rPr>
                <w:rFonts w:hint="eastAsia" w:ascii="宋体" w:hAnsi="宋体"/>
                <w:color w:val="auto"/>
              </w:rPr>
            </w:pPr>
            <w:r>
              <w:rPr>
                <w:rFonts w:hint="eastAsia" w:ascii="宋体" w:hAnsi="宋体"/>
                <w:color w:val="auto"/>
              </w:rPr>
              <w:t>吊钩应转动灵活，各紧固件安装牢固可靠，并设有防止吊索或吊具非人为脱出的装置。</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w:t>
            </w:r>
          </w:p>
          <w:p>
            <w:pPr>
              <w:jc w:val="center"/>
              <w:rPr>
                <w:rFonts w:hint="eastAsia" w:ascii="宋体" w:hAnsi="宋体"/>
                <w:color w:val="auto"/>
              </w:rPr>
            </w:pPr>
            <w:r>
              <w:rPr>
                <w:rFonts w:hint="eastAsia" w:ascii="宋体" w:hAnsi="宋体"/>
                <w:color w:val="auto"/>
              </w:rPr>
              <w:t>65</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2.5.2</w:t>
            </w:r>
          </w:p>
          <w:p>
            <w:pPr>
              <w:jc w:val="center"/>
              <w:rPr>
                <w:rFonts w:hint="eastAsia" w:ascii="宋体" w:hAnsi="宋体"/>
                <w:color w:val="auto"/>
              </w:rPr>
            </w:pPr>
            <w:r>
              <w:rPr>
                <w:rFonts w:hint="eastAsia" w:ascii="宋体" w:hAnsi="宋体"/>
                <w:color w:val="auto"/>
                <w:spacing w:val="-20"/>
                <w:szCs w:val="21"/>
              </w:rPr>
              <w:t>吊钩缺陷</w:t>
            </w:r>
          </w:p>
        </w:tc>
        <w:tc>
          <w:tcPr>
            <w:tcW w:w="3525" w:type="dxa"/>
            <w:gridSpan w:val="4"/>
            <w:noWrap w:val="0"/>
            <w:vAlign w:val="center"/>
          </w:tcPr>
          <w:p>
            <w:pPr>
              <w:rPr>
                <w:rFonts w:hint="eastAsia" w:ascii="宋体" w:hAnsi="宋体"/>
                <w:color w:val="auto"/>
              </w:rPr>
            </w:pPr>
            <w:r>
              <w:rPr>
                <w:rFonts w:hint="eastAsia" w:ascii="宋体" w:hAnsi="宋体"/>
                <w:color w:val="auto"/>
              </w:rPr>
              <w:t>吊钩严禁补焊，不得使用铸造吊钩，吊钩不得存有下列缺陷：(1)表面有裂纹；(2)</w:t>
            </w:r>
            <w:r>
              <w:rPr>
                <w:rFonts w:hint="eastAsia" w:ascii="宋体" w:hAnsi="宋体"/>
                <w:color w:val="auto"/>
                <w:spacing w:val="-4"/>
                <w:szCs w:val="21"/>
              </w:rPr>
              <w:t>钩尾和螺纹部分等危险截面或钩筋有永久性变形；</w:t>
            </w:r>
            <w:r>
              <w:rPr>
                <w:rFonts w:hint="eastAsia" w:ascii="宋体" w:hAnsi="宋体"/>
                <w:color w:val="auto"/>
              </w:rPr>
              <w:t>(3)挂绳处截面磨损量超过原高度的5%；(4)开口度比原尺寸增加10%；(5)钩身明显扭转变形；(6)心轴严重磨损。</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ascii="宋体" w:hAnsi="宋体"/>
                <w:color w:val="auto"/>
              </w:rPr>
            </w:pPr>
            <w:r>
              <w:rPr>
                <w:rFonts w:hint="eastAsia" w:ascii="宋体" w:hAnsi="宋体"/>
                <w:color w:val="auto"/>
              </w:rPr>
              <w:t>磨损严重、钩身明显扭转变形达报废标准的</w:t>
            </w: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right"/>
        </w:trPr>
        <w:tc>
          <w:tcPr>
            <w:tcW w:w="534" w:type="dxa"/>
            <w:vMerge w:val="restart"/>
            <w:noWrap w:val="0"/>
            <w:vAlign w:val="center"/>
          </w:tcPr>
          <w:p>
            <w:pPr>
              <w:jc w:val="center"/>
              <w:rPr>
                <w:rFonts w:hint="eastAsia" w:ascii="宋体" w:hAnsi="宋体"/>
                <w:color w:val="auto"/>
              </w:rPr>
            </w:pPr>
            <w:r>
              <w:rPr>
                <w:rFonts w:hint="eastAsia" w:ascii="宋体" w:hAnsi="宋体"/>
                <w:color w:val="auto"/>
              </w:rPr>
              <w:t>66</w:t>
            </w:r>
          </w:p>
        </w:tc>
        <w:tc>
          <w:tcPr>
            <w:tcW w:w="678" w:type="dxa"/>
            <w:vMerge w:val="continue"/>
            <w:noWrap w:val="0"/>
            <w:vAlign w:val="center"/>
          </w:tcPr>
          <w:p>
            <w:pPr>
              <w:jc w:val="center"/>
              <w:rPr>
                <w:rFonts w:hint="eastAsia" w:ascii="宋体" w:hAnsi="宋体"/>
                <w:color w:val="auto"/>
              </w:rPr>
            </w:pPr>
          </w:p>
        </w:tc>
        <w:tc>
          <w:tcPr>
            <w:tcW w:w="915" w:type="dxa"/>
            <w:vMerge w:val="restart"/>
            <w:noWrap w:val="0"/>
            <w:vAlign w:val="center"/>
          </w:tcPr>
          <w:p>
            <w:pPr>
              <w:jc w:val="center"/>
              <w:rPr>
                <w:rFonts w:hint="eastAsia" w:ascii="宋体" w:hAnsi="宋体"/>
                <w:color w:val="auto"/>
              </w:rPr>
            </w:pPr>
            <w:r>
              <w:rPr>
                <w:rFonts w:hint="eastAsia" w:ascii="宋体" w:hAnsi="宋体"/>
                <w:color w:val="auto"/>
              </w:rPr>
              <w:t>2.5.3</w:t>
            </w:r>
          </w:p>
          <w:p>
            <w:pPr>
              <w:jc w:val="center"/>
              <w:rPr>
                <w:rFonts w:hint="eastAsia" w:ascii="宋体" w:hAnsi="宋体"/>
                <w:color w:val="auto"/>
              </w:rPr>
            </w:pPr>
            <w:r>
              <w:rPr>
                <w:rFonts w:hint="eastAsia" w:ascii="宋体" w:hAnsi="宋体"/>
                <w:color w:val="auto"/>
              </w:rPr>
              <w:t>钢丝绳</w:t>
            </w:r>
            <w:r>
              <w:rPr>
                <w:rFonts w:hint="eastAsia" w:ascii="宋体" w:hAnsi="宋体"/>
                <w:color w:val="auto"/>
                <w:spacing w:val="-20"/>
                <w:szCs w:val="21"/>
              </w:rPr>
              <w:t>型号规格</w:t>
            </w:r>
          </w:p>
        </w:tc>
        <w:tc>
          <w:tcPr>
            <w:tcW w:w="3525" w:type="dxa"/>
            <w:gridSpan w:val="4"/>
            <w:noWrap w:val="0"/>
            <w:vAlign w:val="center"/>
          </w:tcPr>
          <w:p>
            <w:pPr>
              <w:jc w:val="left"/>
              <w:rPr>
                <w:rFonts w:hint="eastAsia" w:ascii="宋体" w:hAnsi="宋体"/>
                <w:color w:val="auto"/>
              </w:rPr>
            </w:pPr>
            <w:r>
              <w:rPr>
                <w:rFonts w:hint="eastAsia" w:ascii="宋体" w:hAnsi="宋体"/>
                <w:color w:val="auto"/>
              </w:rPr>
              <w:t>起升和变幅钢丝绳的型号规格应符合设计要求和GB 8918的规定，并有产品出厂合格证。</w:t>
            </w:r>
          </w:p>
        </w:tc>
        <w:tc>
          <w:tcPr>
            <w:tcW w:w="1200" w:type="dxa"/>
            <w:noWrap w:val="0"/>
            <w:vAlign w:val="center"/>
          </w:tcPr>
          <w:p>
            <w:pPr>
              <w:jc w:val="center"/>
              <w:rPr>
                <w:rFonts w:hint="eastAsia" w:ascii="宋体" w:hAnsi="宋体"/>
                <w:color w:val="auto"/>
              </w:rPr>
            </w:pPr>
          </w:p>
        </w:tc>
        <w:tc>
          <w:tcPr>
            <w:tcW w:w="1095" w:type="dxa"/>
            <w:vMerge w:val="restart"/>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rPr>
            </w:pPr>
            <w:r>
              <w:rPr>
                <w:rFonts w:hint="eastAsia" w:ascii="宋体" w:hAnsi="宋体"/>
                <w:color w:val="auto"/>
              </w:rPr>
              <w:t>起升钢丝绳宜使用不旋转钢丝绳，未采用不旋转钢丝绳时，其绳端应设有防扭装置。</w:t>
            </w:r>
          </w:p>
        </w:tc>
        <w:tc>
          <w:tcPr>
            <w:tcW w:w="1200" w:type="dxa"/>
            <w:noWrap w:val="0"/>
            <w:vAlign w:val="center"/>
          </w:tcPr>
          <w:p>
            <w:pPr>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right"/>
        </w:trPr>
        <w:tc>
          <w:tcPr>
            <w:tcW w:w="534" w:type="dxa"/>
            <w:vMerge w:val="restart"/>
            <w:noWrap w:val="0"/>
            <w:vAlign w:val="center"/>
          </w:tcPr>
          <w:p>
            <w:pPr>
              <w:jc w:val="center"/>
              <w:rPr>
                <w:rFonts w:hint="eastAsia" w:ascii="宋体" w:hAnsi="宋体"/>
                <w:color w:val="auto"/>
              </w:rPr>
            </w:pPr>
            <w:r>
              <w:rPr>
                <w:rFonts w:hint="eastAsia" w:ascii="宋体" w:hAnsi="宋体"/>
                <w:color w:val="auto"/>
              </w:rPr>
              <w:t>67</w:t>
            </w:r>
          </w:p>
        </w:tc>
        <w:tc>
          <w:tcPr>
            <w:tcW w:w="678" w:type="dxa"/>
            <w:vMerge w:val="continue"/>
            <w:noWrap w:val="0"/>
            <w:vAlign w:val="center"/>
          </w:tcPr>
          <w:p>
            <w:pPr>
              <w:jc w:val="center"/>
              <w:rPr>
                <w:rFonts w:hint="eastAsia" w:ascii="宋体" w:hAnsi="宋体"/>
                <w:color w:val="auto"/>
              </w:rPr>
            </w:pPr>
          </w:p>
        </w:tc>
        <w:tc>
          <w:tcPr>
            <w:tcW w:w="915" w:type="dxa"/>
            <w:vMerge w:val="restart"/>
            <w:noWrap w:val="0"/>
            <w:vAlign w:val="center"/>
          </w:tcPr>
          <w:p>
            <w:pPr>
              <w:jc w:val="center"/>
              <w:rPr>
                <w:rFonts w:hint="eastAsia" w:ascii="宋体" w:hAnsi="宋体"/>
                <w:color w:val="auto"/>
              </w:rPr>
            </w:pPr>
            <w:r>
              <w:rPr>
                <w:rFonts w:hint="eastAsia" w:ascii="宋体" w:hAnsi="宋体"/>
                <w:color w:val="auto"/>
              </w:rPr>
              <w:t>2.5.4</w:t>
            </w:r>
          </w:p>
          <w:p>
            <w:pPr>
              <w:jc w:val="center"/>
              <w:rPr>
                <w:rFonts w:hint="eastAsia" w:ascii="宋体" w:hAnsi="宋体"/>
                <w:color w:val="auto"/>
              </w:rPr>
            </w:pPr>
            <w:r>
              <w:rPr>
                <w:rFonts w:hint="eastAsia" w:ascii="宋体" w:hAnsi="宋体"/>
                <w:color w:val="auto"/>
              </w:rPr>
              <w:t>钢丝绳</w:t>
            </w:r>
            <w:r>
              <w:rPr>
                <w:rFonts w:hint="eastAsia" w:ascii="宋体" w:hAnsi="宋体"/>
                <w:color w:val="auto"/>
                <w:spacing w:val="-20"/>
                <w:szCs w:val="21"/>
              </w:rPr>
              <w:t>端部固定</w:t>
            </w:r>
          </w:p>
        </w:tc>
        <w:tc>
          <w:tcPr>
            <w:tcW w:w="3525" w:type="dxa"/>
            <w:gridSpan w:val="4"/>
            <w:noWrap w:val="0"/>
            <w:vAlign w:val="center"/>
          </w:tcPr>
          <w:p>
            <w:pPr>
              <w:rPr>
                <w:rFonts w:hint="eastAsia" w:ascii="宋体" w:hAnsi="宋体"/>
                <w:color w:val="auto"/>
                <w:szCs w:val="21"/>
              </w:rPr>
            </w:pPr>
            <w:r>
              <w:rPr>
                <w:rFonts w:hint="eastAsia" w:ascii="宋体" w:hAnsi="宋体"/>
                <w:color w:val="auto"/>
                <w:szCs w:val="21"/>
              </w:rPr>
              <w:t>采用楔形接头固定时，楔套不应有裂纹，楔块不应松动，紧固件齐全。</w:t>
            </w:r>
          </w:p>
        </w:tc>
        <w:tc>
          <w:tcPr>
            <w:tcW w:w="1200" w:type="dxa"/>
            <w:noWrap w:val="0"/>
            <w:vAlign w:val="center"/>
          </w:tcPr>
          <w:p>
            <w:pPr>
              <w:jc w:val="center"/>
              <w:rPr>
                <w:rFonts w:hint="eastAsia" w:ascii="宋体" w:hAnsi="宋体"/>
                <w:color w:val="auto"/>
              </w:rPr>
            </w:pPr>
          </w:p>
        </w:tc>
        <w:tc>
          <w:tcPr>
            <w:tcW w:w="1095" w:type="dxa"/>
            <w:vMerge w:val="restart"/>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szCs w:val="21"/>
              </w:rPr>
            </w:pPr>
            <w:r>
              <w:rPr>
                <w:rFonts w:hint="eastAsia" w:ascii="宋体" w:hAnsi="宋体"/>
                <w:color w:val="auto"/>
                <w:szCs w:val="21"/>
              </w:rPr>
              <w:t>采用金属压制接头固定时，接头不应有裂纹。</w:t>
            </w:r>
          </w:p>
        </w:tc>
        <w:tc>
          <w:tcPr>
            <w:tcW w:w="1200" w:type="dxa"/>
            <w:noWrap w:val="0"/>
            <w:vAlign w:val="center"/>
          </w:tcPr>
          <w:p>
            <w:pPr>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rPr>
            </w:pPr>
            <w:r>
              <w:rPr>
                <w:rFonts w:hint="eastAsia" w:ascii="宋体" w:hAnsi="宋体"/>
                <w:color w:val="auto"/>
                <w:szCs w:val="21"/>
              </w:rPr>
              <w:t>采用压板固定时，卷筒上钢丝绳尾端的固定装置应有防松或自紧的性能。起升钢丝绳绳端固定压板数量不得少于2个。</w:t>
            </w:r>
          </w:p>
        </w:tc>
        <w:tc>
          <w:tcPr>
            <w:tcW w:w="1200" w:type="dxa"/>
            <w:tcBorders>
              <w:bottom w:val="single" w:color="auto" w:sz="4" w:space="0"/>
            </w:tcBorders>
            <w:noWrap w:val="0"/>
            <w:vAlign w:val="center"/>
          </w:tcPr>
          <w:p>
            <w:pPr>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991" w:type="dxa"/>
            <w:vMerge w:val="restart"/>
            <w:noWrap w:val="0"/>
            <w:vAlign w:val="center"/>
          </w:tcPr>
          <w:p>
            <w:pPr>
              <w:rPr>
                <w:rFonts w:hint="eastAsia" w:ascii="宋体" w:hAnsi="宋体"/>
                <w:color w:val="auto"/>
                <w:spacing w:val="-10"/>
              </w:rPr>
            </w:pPr>
            <w:r>
              <w:rPr>
                <w:rFonts w:hint="eastAsia" w:ascii="宋体" w:hAnsi="宋体"/>
                <w:color w:val="auto"/>
                <w:spacing w:val="-10"/>
                <w:szCs w:val="21"/>
              </w:rPr>
              <w:t>采用绳夹固定时，绳夹数量应符合右表规定，绳夹夹座应在钢丝绳长头一边，绳夹的间距不应小于钢丝绳直径的6倍。</w:t>
            </w:r>
          </w:p>
        </w:tc>
        <w:tc>
          <w:tcPr>
            <w:tcW w:w="930" w:type="dxa"/>
            <w:noWrap w:val="0"/>
            <w:vAlign w:val="center"/>
          </w:tcPr>
          <w:p>
            <w:pPr>
              <w:rPr>
                <w:rFonts w:hint="eastAsia" w:ascii="宋体" w:hAnsi="宋体"/>
                <w:color w:val="auto"/>
              </w:rPr>
            </w:pPr>
            <w:r>
              <w:rPr>
                <w:rFonts w:hint="eastAsia" w:ascii="宋体" w:hAnsi="宋体"/>
                <w:color w:val="auto"/>
              </w:rPr>
              <w:t>钢丝绳公称直径(mm)</w:t>
            </w:r>
          </w:p>
        </w:tc>
        <w:tc>
          <w:tcPr>
            <w:tcW w:w="1604" w:type="dxa"/>
            <w:gridSpan w:val="2"/>
            <w:noWrap w:val="0"/>
            <w:vAlign w:val="center"/>
          </w:tcPr>
          <w:p>
            <w:pPr>
              <w:rPr>
                <w:rFonts w:hint="eastAsia" w:ascii="宋体" w:hAnsi="宋体"/>
                <w:color w:val="auto"/>
              </w:rPr>
            </w:pPr>
            <w:r>
              <w:rPr>
                <w:rFonts w:hint="eastAsia" w:ascii="宋体" w:hAnsi="宋体"/>
                <w:color w:val="auto"/>
              </w:rPr>
              <w:t>钢丝绳夹最少数量(个)</w:t>
            </w:r>
          </w:p>
        </w:tc>
        <w:tc>
          <w:tcPr>
            <w:tcW w:w="2295" w:type="dxa"/>
            <w:gridSpan w:val="2"/>
            <w:vMerge w:val="restart"/>
            <w:noWrap w:val="0"/>
            <w:vAlign w:val="center"/>
          </w:tcPr>
          <w:p>
            <w:pPr>
              <w:jc w:val="center"/>
              <w:rPr>
                <w:rFonts w:hint="eastAsia" w:ascii="宋体" w:hAnsi="宋体"/>
                <w:color w:val="auto"/>
              </w:rPr>
            </w:pPr>
          </w:p>
        </w:tc>
        <w:tc>
          <w:tcPr>
            <w:tcW w:w="1290" w:type="dxa"/>
            <w:vMerge w:val="restart"/>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991" w:type="dxa"/>
            <w:vMerge w:val="continue"/>
            <w:noWrap w:val="0"/>
            <w:vAlign w:val="center"/>
          </w:tcPr>
          <w:p>
            <w:pPr>
              <w:rPr>
                <w:rFonts w:hint="eastAsia" w:ascii="宋体" w:hAnsi="宋体"/>
                <w:color w:val="auto"/>
              </w:rPr>
            </w:pPr>
          </w:p>
        </w:tc>
        <w:tc>
          <w:tcPr>
            <w:tcW w:w="930" w:type="dxa"/>
            <w:noWrap w:val="0"/>
            <w:vAlign w:val="center"/>
          </w:tcPr>
          <w:p>
            <w:pPr>
              <w:jc w:val="center"/>
              <w:rPr>
                <w:rFonts w:hint="eastAsia" w:ascii="宋体" w:hAnsi="宋体"/>
                <w:color w:val="auto"/>
              </w:rPr>
            </w:pPr>
            <w:r>
              <w:rPr>
                <w:rFonts w:hint="eastAsia" w:ascii="宋体" w:hAnsi="宋体"/>
                <w:color w:val="auto"/>
              </w:rPr>
              <w:t>≤19</w:t>
            </w:r>
          </w:p>
        </w:tc>
        <w:tc>
          <w:tcPr>
            <w:tcW w:w="1604" w:type="dxa"/>
            <w:gridSpan w:val="2"/>
            <w:noWrap w:val="0"/>
            <w:vAlign w:val="center"/>
          </w:tcPr>
          <w:p>
            <w:pPr>
              <w:jc w:val="center"/>
              <w:rPr>
                <w:rFonts w:hint="eastAsia" w:ascii="宋体" w:hAnsi="宋体"/>
                <w:color w:val="auto"/>
              </w:rPr>
            </w:pPr>
            <w:r>
              <w:rPr>
                <w:rFonts w:hint="eastAsia" w:ascii="宋体" w:hAnsi="宋体"/>
                <w:color w:val="auto"/>
              </w:rPr>
              <w:t>3</w:t>
            </w:r>
          </w:p>
        </w:tc>
        <w:tc>
          <w:tcPr>
            <w:tcW w:w="2295" w:type="dxa"/>
            <w:gridSpan w:val="2"/>
            <w:vMerge w:val="continue"/>
            <w:noWrap w:val="0"/>
            <w:vAlign w:val="center"/>
          </w:tcPr>
          <w:p>
            <w:pPr>
              <w:jc w:val="center"/>
              <w:rPr>
                <w:rFonts w:hint="eastAsia" w:ascii="宋体" w:hAnsi="宋体"/>
                <w:color w:val="auto"/>
              </w:rPr>
            </w:pPr>
          </w:p>
        </w:tc>
        <w:tc>
          <w:tcPr>
            <w:tcW w:w="1290" w:type="dxa"/>
            <w:vMerge w:val="continue"/>
            <w:noWrap w:val="0"/>
            <w:vAlign w:val="center"/>
          </w:tcPr>
          <w:p>
            <w:pPr>
              <w:jc w:val="center"/>
              <w:rPr>
                <w:rFonts w:hint="eastAsia" w:ascii="宋体" w:hAnsi="宋体"/>
                <w:color w:val="auto"/>
              </w:rPr>
            </w:pP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991" w:type="dxa"/>
            <w:vMerge w:val="continue"/>
            <w:noWrap w:val="0"/>
            <w:vAlign w:val="center"/>
          </w:tcPr>
          <w:p>
            <w:pPr>
              <w:rPr>
                <w:rFonts w:hint="eastAsia" w:ascii="宋体" w:hAnsi="宋体"/>
                <w:color w:val="auto"/>
              </w:rPr>
            </w:pPr>
          </w:p>
        </w:tc>
        <w:tc>
          <w:tcPr>
            <w:tcW w:w="930" w:type="dxa"/>
            <w:noWrap w:val="0"/>
            <w:vAlign w:val="center"/>
          </w:tcPr>
          <w:p>
            <w:pPr>
              <w:jc w:val="center"/>
              <w:rPr>
                <w:rFonts w:hint="eastAsia" w:ascii="宋体" w:hAnsi="宋体"/>
                <w:color w:val="auto"/>
              </w:rPr>
            </w:pPr>
            <w:r>
              <w:rPr>
                <w:rFonts w:hint="eastAsia" w:ascii="宋体" w:hAnsi="宋体"/>
                <w:color w:val="auto"/>
              </w:rPr>
              <w:t>19～32</w:t>
            </w:r>
          </w:p>
        </w:tc>
        <w:tc>
          <w:tcPr>
            <w:tcW w:w="1604" w:type="dxa"/>
            <w:gridSpan w:val="2"/>
            <w:noWrap w:val="0"/>
            <w:vAlign w:val="center"/>
          </w:tcPr>
          <w:p>
            <w:pPr>
              <w:jc w:val="center"/>
              <w:rPr>
                <w:rFonts w:hint="eastAsia" w:ascii="宋体" w:hAnsi="宋体"/>
                <w:color w:val="auto"/>
              </w:rPr>
            </w:pPr>
            <w:r>
              <w:rPr>
                <w:rFonts w:hint="eastAsia" w:ascii="宋体" w:hAnsi="宋体"/>
                <w:color w:val="auto"/>
              </w:rPr>
              <w:t>4</w:t>
            </w:r>
          </w:p>
        </w:tc>
        <w:tc>
          <w:tcPr>
            <w:tcW w:w="2295" w:type="dxa"/>
            <w:gridSpan w:val="2"/>
            <w:vMerge w:val="continue"/>
            <w:noWrap w:val="0"/>
            <w:vAlign w:val="center"/>
          </w:tcPr>
          <w:p>
            <w:pPr>
              <w:jc w:val="center"/>
              <w:rPr>
                <w:rFonts w:hint="eastAsia" w:ascii="宋体" w:hAnsi="宋体"/>
                <w:color w:val="auto"/>
              </w:rPr>
            </w:pPr>
          </w:p>
        </w:tc>
        <w:tc>
          <w:tcPr>
            <w:tcW w:w="1290" w:type="dxa"/>
            <w:vMerge w:val="continue"/>
            <w:noWrap w:val="0"/>
            <w:vAlign w:val="center"/>
          </w:tcPr>
          <w:p>
            <w:pPr>
              <w:jc w:val="center"/>
              <w:rPr>
                <w:rFonts w:hint="eastAsia" w:ascii="宋体" w:hAnsi="宋体"/>
                <w:color w:val="auto"/>
              </w:rPr>
            </w:pP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991" w:type="dxa"/>
            <w:vMerge w:val="continue"/>
            <w:noWrap w:val="0"/>
            <w:vAlign w:val="center"/>
          </w:tcPr>
          <w:p>
            <w:pPr>
              <w:rPr>
                <w:rFonts w:hint="eastAsia" w:ascii="宋体" w:hAnsi="宋体"/>
                <w:color w:val="auto"/>
              </w:rPr>
            </w:pPr>
          </w:p>
        </w:tc>
        <w:tc>
          <w:tcPr>
            <w:tcW w:w="930" w:type="dxa"/>
            <w:noWrap w:val="0"/>
            <w:vAlign w:val="center"/>
          </w:tcPr>
          <w:p>
            <w:pPr>
              <w:jc w:val="center"/>
              <w:rPr>
                <w:rFonts w:hint="eastAsia" w:ascii="宋体" w:hAnsi="宋体"/>
                <w:color w:val="auto"/>
              </w:rPr>
            </w:pPr>
            <w:r>
              <w:rPr>
                <w:rFonts w:hint="eastAsia" w:ascii="宋体" w:hAnsi="宋体"/>
                <w:color w:val="auto"/>
              </w:rPr>
              <w:t>32～38</w:t>
            </w:r>
          </w:p>
        </w:tc>
        <w:tc>
          <w:tcPr>
            <w:tcW w:w="1604" w:type="dxa"/>
            <w:gridSpan w:val="2"/>
            <w:noWrap w:val="0"/>
            <w:vAlign w:val="center"/>
          </w:tcPr>
          <w:p>
            <w:pPr>
              <w:jc w:val="center"/>
              <w:rPr>
                <w:rFonts w:hint="eastAsia" w:ascii="宋体" w:hAnsi="宋体"/>
                <w:color w:val="auto"/>
              </w:rPr>
            </w:pPr>
            <w:r>
              <w:rPr>
                <w:rFonts w:hint="eastAsia" w:ascii="宋体" w:hAnsi="宋体"/>
                <w:color w:val="auto"/>
              </w:rPr>
              <w:t>5</w:t>
            </w:r>
          </w:p>
        </w:tc>
        <w:tc>
          <w:tcPr>
            <w:tcW w:w="2295" w:type="dxa"/>
            <w:gridSpan w:val="2"/>
            <w:vMerge w:val="continue"/>
            <w:noWrap w:val="0"/>
            <w:vAlign w:val="center"/>
          </w:tcPr>
          <w:p>
            <w:pPr>
              <w:jc w:val="center"/>
              <w:rPr>
                <w:rFonts w:hint="eastAsia" w:ascii="宋体" w:hAnsi="宋体"/>
                <w:color w:val="auto"/>
              </w:rPr>
            </w:pPr>
          </w:p>
        </w:tc>
        <w:tc>
          <w:tcPr>
            <w:tcW w:w="1290" w:type="dxa"/>
            <w:vMerge w:val="continue"/>
            <w:noWrap w:val="0"/>
            <w:vAlign w:val="center"/>
          </w:tcPr>
          <w:p>
            <w:pPr>
              <w:jc w:val="center"/>
              <w:rPr>
                <w:rFonts w:hint="eastAsia" w:ascii="宋体" w:hAnsi="宋体"/>
                <w:color w:val="auto"/>
              </w:rPr>
            </w:pP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991" w:type="dxa"/>
            <w:vMerge w:val="continue"/>
            <w:noWrap w:val="0"/>
            <w:vAlign w:val="center"/>
          </w:tcPr>
          <w:p>
            <w:pPr>
              <w:rPr>
                <w:rFonts w:hint="eastAsia" w:ascii="宋体" w:hAnsi="宋体"/>
                <w:color w:val="auto"/>
              </w:rPr>
            </w:pPr>
          </w:p>
        </w:tc>
        <w:tc>
          <w:tcPr>
            <w:tcW w:w="930" w:type="dxa"/>
            <w:noWrap w:val="0"/>
            <w:vAlign w:val="center"/>
          </w:tcPr>
          <w:p>
            <w:pPr>
              <w:jc w:val="center"/>
              <w:rPr>
                <w:rFonts w:hint="eastAsia" w:ascii="宋体" w:hAnsi="宋体"/>
                <w:color w:val="auto"/>
              </w:rPr>
            </w:pPr>
            <w:r>
              <w:rPr>
                <w:rFonts w:hint="eastAsia" w:ascii="宋体" w:hAnsi="宋体"/>
                <w:color w:val="auto"/>
              </w:rPr>
              <w:t>38～44</w:t>
            </w:r>
          </w:p>
        </w:tc>
        <w:tc>
          <w:tcPr>
            <w:tcW w:w="1604" w:type="dxa"/>
            <w:gridSpan w:val="2"/>
            <w:noWrap w:val="0"/>
            <w:vAlign w:val="center"/>
          </w:tcPr>
          <w:p>
            <w:pPr>
              <w:jc w:val="center"/>
              <w:rPr>
                <w:rFonts w:hint="eastAsia" w:ascii="宋体" w:hAnsi="宋体"/>
                <w:color w:val="auto"/>
              </w:rPr>
            </w:pPr>
            <w:r>
              <w:rPr>
                <w:rFonts w:hint="eastAsia" w:ascii="宋体" w:hAnsi="宋体"/>
                <w:color w:val="auto"/>
              </w:rPr>
              <w:t>6</w:t>
            </w:r>
          </w:p>
        </w:tc>
        <w:tc>
          <w:tcPr>
            <w:tcW w:w="2295" w:type="dxa"/>
            <w:gridSpan w:val="2"/>
            <w:vMerge w:val="continue"/>
            <w:noWrap w:val="0"/>
            <w:vAlign w:val="center"/>
          </w:tcPr>
          <w:p>
            <w:pPr>
              <w:jc w:val="center"/>
              <w:rPr>
                <w:rFonts w:hint="eastAsia" w:ascii="宋体" w:hAnsi="宋体"/>
                <w:color w:val="auto"/>
              </w:rPr>
            </w:pPr>
          </w:p>
        </w:tc>
        <w:tc>
          <w:tcPr>
            <w:tcW w:w="1290" w:type="dxa"/>
            <w:vMerge w:val="continue"/>
            <w:noWrap w:val="0"/>
            <w:vAlign w:val="center"/>
          </w:tcPr>
          <w:p>
            <w:pPr>
              <w:jc w:val="center"/>
              <w:rPr>
                <w:rFonts w:hint="eastAsia" w:ascii="宋体" w:hAnsi="宋体"/>
                <w:color w:val="auto"/>
              </w:rPr>
            </w:pP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991" w:type="dxa"/>
            <w:vMerge w:val="continue"/>
            <w:noWrap w:val="0"/>
            <w:vAlign w:val="center"/>
          </w:tcPr>
          <w:p>
            <w:pPr>
              <w:rPr>
                <w:rFonts w:hint="eastAsia" w:ascii="宋体" w:hAnsi="宋体"/>
                <w:color w:val="auto"/>
              </w:rPr>
            </w:pPr>
          </w:p>
        </w:tc>
        <w:tc>
          <w:tcPr>
            <w:tcW w:w="930" w:type="dxa"/>
            <w:noWrap w:val="0"/>
            <w:vAlign w:val="center"/>
          </w:tcPr>
          <w:p>
            <w:pPr>
              <w:jc w:val="center"/>
              <w:rPr>
                <w:rFonts w:hint="eastAsia" w:ascii="宋体" w:hAnsi="宋体"/>
                <w:color w:val="auto"/>
              </w:rPr>
            </w:pPr>
            <w:r>
              <w:rPr>
                <w:rFonts w:hint="eastAsia" w:ascii="宋体" w:hAnsi="宋体"/>
                <w:color w:val="auto"/>
              </w:rPr>
              <w:t>44～60</w:t>
            </w:r>
          </w:p>
        </w:tc>
        <w:tc>
          <w:tcPr>
            <w:tcW w:w="1604" w:type="dxa"/>
            <w:gridSpan w:val="2"/>
            <w:noWrap w:val="0"/>
            <w:vAlign w:val="center"/>
          </w:tcPr>
          <w:p>
            <w:pPr>
              <w:jc w:val="center"/>
              <w:rPr>
                <w:rFonts w:hint="eastAsia" w:ascii="宋体" w:hAnsi="宋体"/>
                <w:color w:val="auto"/>
              </w:rPr>
            </w:pPr>
            <w:r>
              <w:rPr>
                <w:rFonts w:hint="eastAsia" w:ascii="宋体" w:hAnsi="宋体"/>
                <w:color w:val="auto"/>
              </w:rPr>
              <w:t>7</w:t>
            </w:r>
          </w:p>
        </w:tc>
        <w:tc>
          <w:tcPr>
            <w:tcW w:w="2295" w:type="dxa"/>
            <w:gridSpan w:val="2"/>
            <w:vMerge w:val="continue"/>
            <w:noWrap w:val="0"/>
            <w:vAlign w:val="center"/>
          </w:tcPr>
          <w:p>
            <w:pPr>
              <w:jc w:val="center"/>
              <w:rPr>
                <w:rFonts w:hint="eastAsia" w:ascii="宋体" w:hAnsi="宋体"/>
                <w:color w:val="auto"/>
              </w:rPr>
            </w:pPr>
          </w:p>
        </w:tc>
        <w:tc>
          <w:tcPr>
            <w:tcW w:w="1290" w:type="dxa"/>
            <w:vMerge w:val="continue"/>
            <w:noWrap w:val="0"/>
            <w:vAlign w:val="center"/>
          </w:tcPr>
          <w:p>
            <w:pPr>
              <w:jc w:val="center"/>
              <w:rPr>
                <w:rFonts w:hint="eastAsia" w:ascii="宋体" w:hAnsi="宋体"/>
                <w:color w:val="auto"/>
              </w:rPr>
            </w:pP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restart"/>
            <w:noWrap w:val="0"/>
            <w:vAlign w:val="center"/>
          </w:tcPr>
          <w:p>
            <w:pPr>
              <w:jc w:val="center"/>
              <w:rPr>
                <w:rFonts w:hint="eastAsia" w:ascii="宋体" w:hAnsi="宋体"/>
                <w:color w:val="auto"/>
              </w:rPr>
            </w:pPr>
            <w:r>
              <w:rPr>
                <w:rFonts w:hint="eastAsia" w:ascii="宋体" w:hAnsi="宋体"/>
                <w:color w:val="auto"/>
              </w:rPr>
              <w:t>68</w:t>
            </w:r>
          </w:p>
        </w:tc>
        <w:tc>
          <w:tcPr>
            <w:tcW w:w="678" w:type="dxa"/>
            <w:vMerge w:val="restart"/>
            <w:noWrap w:val="0"/>
            <w:vAlign w:val="center"/>
          </w:tcPr>
          <w:p>
            <w:pPr>
              <w:jc w:val="center"/>
              <w:rPr>
                <w:rFonts w:hint="eastAsia" w:ascii="宋体" w:hAnsi="宋体"/>
                <w:color w:val="auto"/>
              </w:rPr>
            </w:pPr>
            <w:r>
              <w:rPr>
                <w:rFonts w:hint="eastAsia" w:ascii="宋体" w:hAnsi="宋体"/>
                <w:color w:val="auto"/>
              </w:rPr>
              <w:t>2.5</w:t>
            </w:r>
          </w:p>
          <w:p>
            <w:pPr>
              <w:jc w:val="center"/>
              <w:rPr>
                <w:rFonts w:hint="eastAsia" w:ascii="宋体" w:hAnsi="宋体"/>
                <w:color w:val="auto"/>
              </w:rPr>
            </w:pPr>
            <w:r>
              <w:rPr>
                <w:rFonts w:hint="eastAsia" w:ascii="宋体" w:hAnsi="宋体"/>
                <w:color w:val="auto"/>
              </w:rPr>
              <w:t>机构及零部件</w:t>
            </w:r>
          </w:p>
        </w:tc>
        <w:tc>
          <w:tcPr>
            <w:tcW w:w="915" w:type="dxa"/>
            <w:vMerge w:val="restart"/>
            <w:noWrap w:val="0"/>
            <w:vAlign w:val="center"/>
          </w:tcPr>
          <w:p>
            <w:pPr>
              <w:jc w:val="center"/>
              <w:rPr>
                <w:rFonts w:hint="eastAsia" w:ascii="宋体" w:hAnsi="宋体"/>
                <w:color w:val="auto"/>
              </w:rPr>
            </w:pPr>
            <w:r>
              <w:rPr>
                <w:rFonts w:hint="eastAsia" w:ascii="宋体" w:hAnsi="宋体"/>
                <w:color w:val="auto"/>
              </w:rPr>
              <w:t>2.5.5</w:t>
            </w:r>
          </w:p>
          <w:p>
            <w:pPr>
              <w:jc w:val="center"/>
              <w:rPr>
                <w:rFonts w:hint="eastAsia" w:ascii="宋体" w:hAnsi="宋体"/>
                <w:color w:val="auto"/>
              </w:rPr>
            </w:pPr>
            <w:r>
              <w:rPr>
                <w:rFonts w:hint="eastAsia" w:ascii="宋体" w:hAnsi="宋体"/>
                <w:color w:val="auto"/>
              </w:rPr>
              <w:t>钢丝绳安装</w:t>
            </w:r>
          </w:p>
        </w:tc>
        <w:tc>
          <w:tcPr>
            <w:tcW w:w="3525" w:type="dxa"/>
            <w:gridSpan w:val="4"/>
            <w:noWrap w:val="0"/>
            <w:vAlign w:val="center"/>
          </w:tcPr>
          <w:p>
            <w:pPr>
              <w:rPr>
                <w:rFonts w:hint="eastAsia" w:ascii="宋体" w:hAnsi="宋体"/>
                <w:color w:val="auto"/>
              </w:rPr>
            </w:pPr>
            <w:r>
              <w:rPr>
                <w:rFonts w:hint="eastAsia" w:ascii="宋体" w:hAnsi="宋体"/>
                <w:color w:val="auto"/>
              </w:rPr>
              <w:t>卷筒两侧边缘超过最外层钢丝绳的高度应不小于钢丝绳直径的</w:t>
            </w:r>
            <w:r>
              <w:rPr>
                <w:rFonts w:ascii="宋体" w:hAnsi="宋体"/>
                <w:color w:val="auto"/>
              </w:rPr>
              <w:t>2</w:t>
            </w:r>
            <w:r>
              <w:rPr>
                <w:rFonts w:hint="eastAsia" w:ascii="宋体" w:hAnsi="宋体"/>
                <w:color w:val="auto"/>
              </w:rPr>
              <w:t>倍。</w:t>
            </w:r>
          </w:p>
        </w:tc>
        <w:tc>
          <w:tcPr>
            <w:tcW w:w="1200" w:type="dxa"/>
            <w:noWrap w:val="0"/>
            <w:vAlign w:val="center"/>
          </w:tcPr>
          <w:p>
            <w:pPr>
              <w:jc w:val="center"/>
              <w:rPr>
                <w:rFonts w:hint="eastAsia" w:ascii="宋体" w:hAnsi="宋体"/>
                <w:color w:val="auto"/>
              </w:rPr>
            </w:pPr>
          </w:p>
        </w:tc>
        <w:tc>
          <w:tcPr>
            <w:tcW w:w="1095" w:type="dxa"/>
            <w:vMerge w:val="restart"/>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rPr>
            </w:pPr>
            <w:r>
              <w:rPr>
                <w:rFonts w:hint="eastAsia" w:ascii="宋体" w:hAnsi="宋体"/>
                <w:color w:val="auto"/>
              </w:rPr>
              <w:t>钢丝绳在卷筒上应能按顺序整齐排列。</w:t>
            </w:r>
          </w:p>
        </w:tc>
        <w:tc>
          <w:tcPr>
            <w:tcW w:w="1200" w:type="dxa"/>
            <w:noWrap w:val="0"/>
            <w:vAlign w:val="center"/>
          </w:tcPr>
          <w:p>
            <w:pPr>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rPr>
            </w:pPr>
            <w:r>
              <w:rPr>
                <w:rFonts w:hint="eastAsia" w:ascii="宋体" w:hAnsi="宋体"/>
                <w:color w:val="auto"/>
              </w:rPr>
              <w:t>钢丝绳在放出最大工作长度后，卷筒上的钢丝绳至少应保留</w:t>
            </w:r>
            <w:r>
              <w:rPr>
                <w:rFonts w:ascii="宋体" w:hAnsi="宋体"/>
                <w:color w:val="auto"/>
              </w:rPr>
              <w:t>3</w:t>
            </w:r>
            <w:r>
              <w:rPr>
                <w:rFonts w:hint="eastAsia" w:ascii="宋体" w:hAnsi="宋体"/>
                <w:color w:val="auto"/>
              </w:rPr>
              <w:t>圈。</w:t>
            </w:r>
          </w:p>
        </w:tc>
        <w:tc>
          <w:tcPr>
            <w:tcW w:w="1200" w:type="dxa"/>
            <w:noWrap w:val="0"/>
            <w:vAlign w:val="center"/>
          </w:tcPr>
          <w:p>
            <w:pPr>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69</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spacing w:line="280" w:lineRule="exact"/>
              <w:jc w:val="center"/>
              <w:rPr>
                <w:rFonts w:hint="eastAsia" w:ascii="宋体" w:hAnsi="宋体"/>
                <w:color w:val="auto"/>
              </w:rPr>
            </w:pPr>
            <w:r>
              <w:rPr>
                <w:rFonts w:hint="eastAsia" w:ascii="宋体" w:hAnsi="宋体"/>
                <w:color w:val="auto"/>
              </w:rPr>
              <w:t>2.5.6</w:t>
            </w:r>
          </w:p>
          <w:p>
            <w:pPr>
              <w:spacing w:line="280" w:lineRule="exact"/>
              <w:jc w:val="center"/>
              <w:rPr>
                <w:rFonts w:hint="eastAsia" w:ascii="宋体" w:hAnsi="宋体"/>
                <w:color w:val="auto"/>
              </w:rPr>
            </w:pPr>
            <w:r>
              <w:rPr>
                <w:rFonts w:hint="eastAsia" w:ascii="宋体" w:hAnsi="宋体"/>
                <w:color w:val="auto"/>
              </w:rPr>
              <w:t>钢丝绳使用</w:t>
            </w:r>
          </w:p>
        </w:tc>
        <w:tc>
          <w:tcPr>
            <w:tcW w:w="3525" w:type="dxa"/>
            <w:gridSpan w:val="4"/>
            <w:noWrap w:val="0"/>
            <w:vAlign w:val="center"/>
          </w:tcPr>
          <w:p>
            <w:pPr>
              <w:rPr>
                <w:rFonts w:hint="eastAsia" w:ascii="宋体" w:hAnsi="宋体"/>
                <w:color w:val="auto"/>
              </w:rPr>
            </w:pPr>
            <w:r>
              <w:rPr>
                <w:rFonts w:hint="eastAsia" w:ascii="宋体" w:hAnsi="宋体"/>
                <w:color w:val="auto"/>
              </w:rPr>
              <w:t>钢丝绳应润滑良好，不应与金属结构磨擦。</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right"/>
        </w:trPr>
        <w:tc>
          <w:tcPr>
            <w:tcW w:w="534" w:type="dxa"/>
            <w:noWrap w:val="0"/>
            <w:vAlign w:val="center"/>
          </w:tcPr>
          <w:p>
            <w:pPr>
              <w:jc w:val="center"/>
              <w:rPr>
                <w:rFonts w:hint="eastAsia" w:ascii="宋体" w:hAnsi="宋体"/>
                <w:color w:val="auto"/>
              </w:rPr>
            </w:pPr>
            <w:r>
              <w:rPr>
                <w:rFonts w:hint="eastAsia" w:ascii="宋体" w:hAnsi="宋体"/>
                <w:color w:val="auto"/>
              </w:rPr>
              <w:t>★70</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2.5.7</w:t>
            </w:r>
          </w:p>
          <w:p>
            <w:pPr>
              <w:jc w:val="center"/>
              <w:rPr>
                <w:rFonts w:hint="eastAsia" w:ascii="宋体" w:hAnsi="宋体"/>
                <w:color w:val="auto"/>
              </w:rPr>
            </w:pPr>
            <w:r>
              <w:rPr>
                <w:rFonts w:hint="eastAsia" w:ascii="宋体" w:hAnsi="宋体"/>
                <w:color w:val="auto"/>
              </w:rPr>
              <w:t>钢丝绳缺陷</w:t>
            </w:r>
          </w:p>
        </w:tc>
        <w:tc>
          <w:tcPr>
            <w:tcW w:w="3525" w:type="dxa"/>
            <w:gridSpan w:val="4"/>
            <w:noWrap w:val="0"/>
            <w:vAlign w:val="center"/>
          </w:tcPr>
          <w:p>
            <w:pPr>
              <w:rPr>
                <w:rFonts w:hint="eastAsia" w:ascii="宋体" w:hAnsi="宋体"/>
                <w:color w:val="auto"/>
              </w:rPr>
            </w:pPr>
            <w:r>
              <w:rPr>
                <w:rFonts w:hint="eastAsia" w:ascii="宋体" w:hAnsi="宋体"/>
                <w:color w:val="auto"/>
              </w:rPr>
              <w:t>钢丝绳不得编织接长使用，且不得存有下列缺陷：</w:t>
            </w:r>
          </w:p>
          <w:p>
            <w:pPr>
              <w:rPr>
                <w:rFonts w:hint="eastAsia" w:ascii="宋体" w:hAnsi="宋体"/>
                <w:color w:val="auto"/>
              </w:rPr>
            </w:pPr>
            <w:r>
              <w:rPr>
                <w:rFonts w:hint="eastAsia" w:ascii="宋体" w:hAnsi="宋体"/>
                <w:color w:val="auto"/>
              </w:rPr>
              <w:t>(1)绳股断裂；(2)扭结；(3)压扁；(4)弯折；(5)波浪形变形；(6)笼状畸变；(7)绳股挤出；(8)钢丝挤出；(9)绳径局部增大；(10)绳径减小，钢丝绳直径相对公称直径减小3%(对于抗扭钢丝绳)或减小10%(对于其他钢丝绳)时；(11)外部腐蚀； (12)严重断丝。</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ascii="宋体" w:hAnsi="宋体"/>
                <w:color w:val="auto"/>
              </w:rPr>
            </w:pPr>
            <w:r>
              <w:rPr>
                <w:rFonts w:hint="eastAsia" w:ascii="宋体" w:hAnsi="宋体"/>
                <w:color w:val="auto"/>
              </w:rPr>
              <w:t>绳股断裂、断丝严重、直径减少、弯折等达到报废标准的</w:t>
            </w:r>
          </w:p>
        </w:tc>
        <w:tc>
          <w:tcPr>
            <w:tcW w:w="1290" w:type="dxa"/>
            <w:noWrap w:val="0"/>
            <w:vAlign w:val="center"/>
          </w:tcPr>
          <w:p>
            <w:pPr>
              <w:rPr>
                <w:rFonts w:ascii="宋体" w:hAnsi="宋体"/>
                <w:color w:val="auto"/>
              </w:rPr>
            </w:pPr>
            <w:r>
              <w:rPr>
                <w:rFonts w:hint="eastAsia" w:ascii="宋体" w:hAnsi="宋体"/>
                <w:color w:val="auto"/>
              </w:rPr>
              <w:t>钢丝绳少量断丝未达报废标准的、排列不整齐</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71</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2.5.8</w:t>
            </w:r>
          </w:p>
          <w:p>
            <w:pPr>
              <w:jc w:val="center"/>
              <w:rPr>
                <w:rFonts w:hint="eastAsia" w:ascii="宋体" w:hAnsi="宋体"/>
                <w:color w:val="auto"/>
                <w:spacing w:val="-20"/>
                <w:szCs w:val="21"/>
              </w:rPr>
            </w:pPr>
            <w:r>
              <w:rPr>
                <w:rFonts w:hint="eastAsia" w:ascii="宋体" w:hAnsi="宋体"/>
                <w:color w:val="auto"/>
                <w:spacing w:val="-20"/>
                <w:szCs w:val="21"/>
              </w:rPr>
              <w:t>卷筒缺陷</w:t>
            </w:r>
          </w:p>
        </w:tc>
        <w:tc>
          <w:tcPr>
            <w:tcW w:w="3525" w:type="dxa"/>
            <w:gridSpan w:val="4"/>
            <w:noWrap w:val="0"/>
            <w:vAlign w:val="center"/>
          </w:tcPr>
          <w:p>
            <w:pPr>
              <w:rPr>
                <w:rFonts w:hint="eastAsia" w:ascii="宋体" w:hAnsi="宋体"/>
                <w:b/>
                <w:color w:val="auto"/>
              </w:rPr>
            </w:pPr>
            <w:r>
              <w:rPr>
                <w:rFonts w:hint="eastAsia" w:ascii="宋体" w:hAnsi="宋体"/>
                <w:color w:val="auto"/>
              </w:rPr>
              <w:t>卷筒不得存有下列缺陷：</w:t>
            </w:r>
          </w:p>
          <w:p>
            <w:pPr>
              <w:rPr>
                <w:rFonts w:hint="eastAsia" w:ascii="宋体" w:hAnsi="宋体"/>
                <w:color w:val="auto"/>
              </w:rPr>
            </w:pPr>
            <w:r>
              <w:rPr>
                <w:rFonts w:hint="eastAsia" w:ascii="宋体" w:hAnsi="宋体"/>
                <w:color w:val="auto"/>
              </w:rPr>
              <w:t>(1)裂纹；(2)轮缘破损；(3)卷筒壁过度磨损。</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right"/>
        </w:trPr>
        <w:tc>
          <w:tcPr>
            <w:tcW w:w="534" w:type="dxa"/>
            <w:noWrap w:val="0"/>
            <w:vAlign w:val="center"/>
          </w:tcPr>
          <w:p>
            <w:pPr>
              <w:jc w:val="center"/>
              <w:rPr>
                <w:rFonts w:hint="eastAsia" w:ascii="宋体" w:hAnsi="宋体"/>
                <w:color w:val="auto"/>
              </w:rPr>
            </w:pPr>
            <w:r>
              <w:rPr>
                <w:rFonts w:hint="eastAsia" w:ascii="宋体" w:hAnsi="宋体"/>
                <w:color w:val="auto"/>
              </w:rPr>
              <w:t>72</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2.5.9</w:t>
            </w:r>
          </w:p>
          <w:p>
            <w:pPr>
              <w:jc w:val="center"/>
              <w:rPr>
                <w:rFonts w:hint="eastAsia" w:ascii="宋体" w:hAnsi="宋体"/>
                <w:color w:val="auto"/>
                <w:spacing w:val="-20"/>
                <w:szCs w:val="21"/>
              </w:rPr>
            </w:pPr>
            <w:r>
              <w:rPr>
                <w:rFonts w:hint="eastAsia" w:ascii="宋体" w:hAnsi="宋体"/>
                <w:color w:val="auto"/>
                <w:spacing w:val="-20"/>
                <w:szCs w:val="21"/>
              </w:rPr>
              <w:t>滑轮缺陷</w:t>
            </w:r>
          </w:p>
        </w:tc>
        <w:tc>
          <w:tcPr>
            <w:tcW w:w="3525" w:type="dxa"/>
            <w:gridSpan w:val="4"/>
            <w:noWrap w:val="0"/>
            <w:vAlign w:val="center"/>
          </w:tcPr>
          <w:p>
            <w:pPr>
              <w:rPr>
                <w:rFonts w:hint="eastAsia" w:ascii="宋体" w:hAnsi="宋体"/>
                <w:color w:val="auto"/>
              </w:rPr>
            </w:pPr>
            <w:r>
              <w:rPr>
                <w:rFonts w:hint="eastAsia" w:ascii="宋体" w:hAnsi="宋体"/>
                <w:color w:val="auto"/>
              </w:rPr>
              <w:t>滑轮应转动良好，不得存有下列缺陷：</w:t>
            </w:r>
          </w:p>
          <w:p>
            <w:pPr>
              <w:rPr>
                <w:rFonts w:hint="eastAsia" w:ascii="宋体" w:hAnsi="宋体"/>
                <w:color w:val="auto"/>
              </w:rPr>
            </w:pPr>
            <w:r>
              <w:rPr>
                <w:rFonts w:hint="eastAsia" w:ascii="宋体" w:hAnsi="宋体"/>
                <w:color w:val="auto"/>
              </w:rPr>
              <w:t>(1)裂纹；(2)轮缘破损；(3)绳槽壁厚过度磨损；(4)滑轮槽底过度磨损。</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restart"/>
            <w:noWrap w:val="0"/>
            <w:vAlign w:val="center"/>
          </w:tcPr>
          <w:p>
            <w:pPr>
              <w:jc w:val="center"/>
              <w:rPr>
                <w:rFonts w:hint="eastAsia" w:ascii="宋体" w:hAnsi="宋体"/>
                <w:color w:val="auto"/>
              </w:rPr>
            </w:pPr>
            <w:r>
              <w:rPr>
                <w:rFonts w:hint="eastAsia" w:ascii="宋体" w:hAnsi="宋体"/>
                <w:color w:val="auto"/>
              </w:rPr>
              <w:t>★73</w:t>
            </w:r>
          </w:p>
        </w:tc>
        <w:tc>
          <w:tcPr>
            <w:tcW w:w="678" w:type="dxa"/>
            <w:vMerge w:val="continue"/>
            <w:noWrap w:val="0"/>
            <w:vAlign w:val="center"/>
          </w:tcPr>
          <w:p>
            <w:pPr>
              <w:jc w:val="center"/>
              <w:rPr>
                <w:rFonts w:hint="eastAsia" w:ascii="宋体" w:hAnsi="宋体"/>
                <w:color w:val="auto"/>
              </w:rPr>
            </w:pPr>
          </w:p>
        </w:tc>
        <w:tc>
          <w:tcPr>
            <w:tcW w:w="915" w:type="dxa"/>
            <w:vMerge w:val="restart"/>
            <w:noWrap w:val="0"/>
            <w:vAlign w:val="center"/>
          </w:tcPr>
          <w:p>
            <w:pPr>
              <w:jc w:val="center"/>
              <w:rPr>
                <w:rFonts w:hint="eastAsia" w:ascii="宋体" w:hAnsi="宋体"/>
                <w:color w:val="auto"/>
              </w:rPr>
            </w:pPr>
            <w:r>
              <w:rPr>
                <w:rFonts w:hint="eastAsia" w:ascii="宋体" w:hAnsi="宋体"/>
                <w:color w:val="auto"/>
              </w:rPr>
              <w:t>2.5.10</w:t>
            </w:r>
          </w:p>
          <w:p>
            <w:pPr>
              <w:jc w:val="center"/>
              <w:rPr>
                <w:rFonts w:hint="eastAsia" w:ascii="宋体" w:hAnsi="宋体"/>
                <w:color w:val="auto"/>
              </w:rPr>
            </w:pPr>
            <w:r>
              <w:rPr>
                <w:rFonts w:hint="eastAsia" w:ascii="宋体" w:hAnsi="宋体"/>
                <w:color w:val="auto"/>
              </w:rPr>
              <w:t>制动器设置</w:t>
            </w:r>
          </w:p>
        </w:tc>
        <w:tc>
          <w:tcPr>
            <w:tcW w:w="3525" w:type="dxa"/>
            <w:gridSpan w:val="4"/>
            <w:noWrap w:val="0"/>
            <w:vAlign w:val="center"/>
          </w:tcPr>
          <w:p>
            <w:pPr>
              <w:rPr>
                <w:rFonts w:hint="eastAsia" w:ascii="宋体" w:hAnsi="宋体"/>
                <w:color w:val="auto"/>
              </w:rPr>
            </w:pPr>
            <w:r>
              <w:rPr>
                <w:rFonts w:hint="eastAsia" w:ascii="宋体" w:hAnsi="宋体"/>
                <w:color w:val="auto"/>
              </w:rPr>
              <w:t>塔机的起升、回转、变幅、行走机构都应配备制动器。起升机构、变幅机构、运行机构应采用常闭制动器。制动器应调整适宜，制动平稳可靠。</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rPr>
            </w:pPr>
            <w:r>
              <w:rPr>
                <w:rFonts w:hint="eastAsia" w:ascii="宋体" w:hAnsi="宋体"/>
                <w:color w:val="auto"/>
              </w:rPr>
              <w:t>动臂变幅的塔机，应设有维修变幅机构时能防止卷筒转动的可靠装置，如附加制动器。</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★74</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2.5.11</w:t>
            </w:r>
          </w:p>
          <w:p>
            <w:pPr>
              <w:jc w:val="center"/>
              <w:rPr>
                <w:rFonts w:hint="eastAsia" w:ascii="黑体" w:hAnsi="宋体" w:eastAsia="黑体"/>
                <w:b/>
                <w:color w:val="auto"/>
              </w:rPr>
            </w:pPr>
            <w:r>
              <w:rPr>
                <w:rFonts w:hint="eastAsia" w:ascii="宋体" w:hAnsi="宋体"/>
                <w:color w:val="auto"/>
              </w:rPr>
              <w:t>制动器缺陷</w:t>
            </w:r>
          </w:p>
        </w:tc>
        <w:tc>
          <w:tcPr>
            <w:tcW w:w="3525" w:type="dxa"/>
            <w:gridSpan w:val="4"/>
            <w:noWrap w:val="0"/>
            <w:vAlign w:val="center"/>
          </w:tcPr>
          <w:p>
            <w:pPr>
              <w:rPr>
                <w:rFonts w:hint="eastAsia" w:ascii="宋体" w:hAnsi="宋体"/>
                <w:color w:val="auto"/>
              </w:rPr>
            </w:pPr>
            <w:r>
              <w:rPr>
                <w:rFonts w:hint="eastAsia" w:ascii="宋体" w:hAnsi="宋体"/>
                <w:color w:val="auto"/>
              </w:rPr>
              <w:t>制动器零部件不得存有下列缺陷：</w:t>
            </w:r>
          </w:p>
          <w:p>
            <w:pPr>
              <w:rPr>
                <w:rFonts w:hint="eastAsia" w:ascii="宋体" w:hAnsi="宋体"/>
                <w:color w:val="auto"/>
              </w:rPr>
            </w:pPr>
            <w:r>
              <w:rPr>
                <w:rFonts w:hint="eastAsia" w:ascii="宋体" w:hAnsi="宋体"/>
                <w:color w:val="auto"/>
              </w:rPr>
              <w:t>(1)可见裂纹；(2)制动块摩擦衬垫过度磨损；(3)制动轮表面过度磨损；(4)弹簧出现塑性变形；(5)电磁铁杠杆系统空行程超过其额定行程的10%；(6)缺件；(7)液压制动器漏油。</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ascii="宋体" w:hAnsi="宋体"/>
                <w:color w:val="auto"/>
              </w:rPr>
            </w:pPr>
            <w:r>
              <w:rPr>
                <w:rFonts w:hint="eastAsia" w:ascii="宋体" w:hAnsi="宋体"/>
                <w:color w:val="auto"/>
              </w:rPr>
              <w:t>制动器过度磨损，失效</w:t>
            </w:r>
          </w:p>
        </w:tc>
        <w:tc>
          <w:tcPr>
            <w:tcW w:w="1290" w:type="dxa"/>
            <w:noWrap w:val="0"/>
            <w:vAlign w:val="center"/>
          </w:tcPr>
          <w:p>
            <w:pPr>
              <w:jc w:val="center"/>
              <w:rPr>
                <w:rFonts w:ascii="宋体" w:hAnsi="宋体"/>
                <w:color w:val="auto"/>
              </w:rPr>
            </w:pP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75</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2.5.12</w:t>
            </w:r>
          </w:p>
          <w:p>
            <w:pPr>
              <w:jc w:val="center"/>
              <w:rPr>
                <w:rFonts w:hint="eastAsia" w:ascii="宋体" w:hAnsi="宋体"/>
                <w:color w:val="auto"/>
              </w:rPr>
            </w:pPr>
            <w:r>
              <w:rPr>
                <w:rFonts w:hint="eastAsia" w:ascii="宋体" w:hAnsi="宋体"/>
                <w:color w:val="auto"/>
              </w:rPr>
              <w:t>减速器</w:t>
            </w:r>
            <w:r>
              <w:rPr>
                <w:rFonts w:hint="eastAsia" w:ascii="宋体" w:hAnsi="宋体"/>
                <w:color w:val="auto"/>
                <w:spacing w:val="-20"/>
                <w:szCs w:val="21"/>
              </w:rPr>
              <w:t>工作状况</w:t>
            </w:r>
          </w:p>
        </w:tc>
        <w:tc>
          <w:tcPr>
            <w:tcW w:w="3525" w:type="dxa"/>
            <w:gridSpan w:val="4"/>
            <w:noWrap w:val="0"/>
            <w:vAlign w:val="center"/>
          </w:tcPr>
          <w:p>
            <w:pPr>
              <w:rPr>
                <w:rFonts w:hint="eastAsia" w:ascii="宋体" w:hAnsi="宋体"/>
                <w:color w:val="auto"/>
              </w:rPr>
            </w:pPr>
            <w:r>
              <w:rPr>
                <w:rFonts w:hint="eastAsia" w:ascii="宋体" w:hAnsi="宋体"/>
                <w:color w:val="auto"/>
              </w:rPr>
              <w:t>减速器壳体连接螺栓、地脚螺栓不得松动，螺栓连接件不得有缺损。减速器工作时应无异常声响、振动、发热和漏油。</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76</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2.5.13</w:t>
            </w:r>
          </w:p>
          <w:p>
            <w:pPr>
              <w:jc w:val="center"/>
              <w:rPr>
                <w:rFonts w:hint="eastAsia" w:ascii="宋体" w:hAnsi="宋体"/>
                <w:color w:val="auto"/>
                <w:spacing w:val="-20"/>
                <w:szCs w:val="21"/>
              </w:rPr>
            </w:pPr>
            <w:r>
              <w:rPr>
                <w:rFonts w:hint="eastAsia" w:ascii="宋体" w:hAnsi="宋体"/>
                <w:color w:val="auto"/>
                <w:spacing w:val="-20"/>
                <w:szCs w:val="21"/>
              </w:rPr>
              <w:t>开式齿轮</w:t>
            </w:r>
          </w:p>
        </w:tc>
        <w:tc>
          <w:tcPr>
            <w:tcW w:w="3525" w:type="dxa"/>
            <w:gridSpan w:val="4"/>
            <w:noWrap w:val="0"/>
            <w:vAlign w:val="center"/>
          </w:tcPr>
          <w:p>
            <w:pPr>
              <w:rPr>
                <w:rFonts w:hint="eastAsia" w:ascii="宋体" w:hAnsi="宋体"/>
                <w:color w:val="auto"/>
              </w:rPr>
            </w:pPr>
            <w:r>
              <w:rPr>
                <w:rFonts w:hint="eastAsia" w:ascii="宋体" w:hAnsi="宋体"/>
                <w:color w:val="auto"/>
              </w:rPr>
              <w:t>开式齿轮啮合应平稳，不得存有下列缺陷：</w:t>
            </w:r>
          </w:p>
          <w:p>
            <w:pPr>
              <w:rPr>
                <w:rFonts w:hint="eastAsia" w:ascii="宋体" w:hAnsi="宋体"/>
                <w:color w:val="auto"/>
              </w:rPr>
            </w:pPr>
            <w:r>
              <w:rPr>
                <w:rFonts w:hint="eastAsia" w:ascii="宋体" w:hAnsi="宋体"/>
                <w:color w:val="auto"/>
              </w:rPr>
              <w:t>(1)可见裂纹；(2)断齿；(3)齿厚严重磨损。</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right"/>
        </w:trPr>
        <w:tc>
          <w:tcPr>
            <w:tcW w:w="534" w:type="dxa"/>
            <w:noWrap w:val="0"/>
            <w:vAlign w:val="center"/>
          </w:tcPr>
          <w:p>
            <w:pPr>
              <w:jc w:val="center"/>
              <w:rPr>
                <w:rFonts w:hint="eastAsia" w:ascii="宋体" w:hAnsi="宋体"/>
                <w:color w:val="auto"/>
              </w:rPr>
            </w:pPr>
            <w:r>
              <w:rPr>
                <w:rFonts w:hint="eastAsia" w:ascii="宋体" w:hAnsi="宋体"/>
                <w:color w:val="auto"/>
              </w:rPr>
              <w:t>77</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2.5.14</w:t>
            </w:r>
          </w:p>
          <w:p>
            <w:pPr>
              <w:jc w:val="center"/>
              <w:rPr>
                <w:rFonts w:hint="eastAsia" w:ascii="宋体" w:hAnsi="宋体"/>
                <w:color w:val="auto"/>
                <w:spacing w:val="-20"/>
                <w:szCs w:val="21"/>
              </w:rPr>
            </w:pPr>
            <w:r>
              <w:rPr>
                <w:rFonts w:hint="eastAsia" w:ascii="宋体" w:hAnsi="宋体"/>
                <w:color w:val="auto"/>
                <w:spacing w:val="-20"/>
                <w:szCs w:val="21"/>
              </w:rPr>
              <w:t>车轮缺陷</w:t>
            </w:r>
          </w:p>
        </w:tc>
        <w:tc>
          <w:tcPr>
            <w:tcW w:w="3525" w:type="dxa"/>
            <w:gridSpan w:val="4"/>
            <w:noWrap w:val="0"/>
            <w:vAlign w:val="center"/>
          </w:tcPr>
          <w:p>
            <w:pPr>
              <w:rPr>
                <w:rFonts w:hint="eastAsia" w:ascii="宋体" w:hAnsi="宋体"/>
                <w:color w:val="auto"/>
                <w:spacing w:val="-4"/>
              </w:rPr>
            </w:pPr>
            <w:r>
              <w:rPr>
                <w:rFonts w:hint="eastAsia" w:ascii="宋体" w:hAnsi="宋体"/>
                <w:color w:val="auto"/>
                <w:spacing w:val="-4"/>
              </w:rPr>
              <w:t>车轮不得存有下列缺陷：</w:t>
            </w:r>
          </w:p>
          <w:p>
            <w:pPr>
              <w:rPr>
                <w:rFonts w:hint="eastAsia" w:ascii="宋体" w:hAnsi="宋体"/>
                <w:color w:val="auto"/>
                <w:spacing w:val="-4"/>
              </w:rPr>
            </w:pPr>
            <w:r>
              <w:rPr>
                <w:rFonts w:hint="eastAsia" w:ascii="宋体" w:hAnsi="宋体"/>
                <w:color w:val="auto"/>
                <w:spacing w:val="-4"/>
              </w:rPr>
              <w:t>(1)可见裂纹；</w:t>
            </w:r>
          </w:p>
          <w:p>
            <w:pPr>
              <w:rPr>
                <w:rFonts w:hint="eastAsia" w:ascii="宋体" w:hAnsi="宋体"/>
                <w:color w:val="auto"/>
                <w:spacing w:val="-4"/>
              </w:rPr>
            </w:pPr>
            <w:r>
              <w:rPr>
                <w:rFonts w:hint="eastAsia" w:ascii="宋体" w:hAnsi="宋体"/>
                <w:color w:val="auto"/>
                <w:spacing w:val="-4"/>
              </w:rPr>
              <w:t>(2)踏面厚度严重磨损；</w:t>
            </w:r>
          </w:p>
          <w:p>
            <w:pPr>
              <w:rPr>
                <w:rFonts w:hint="eastAsia" w:ascii="宋体" w:hAnsi="宋体"/>
                <w:color w:val="auto"/>
              </w:rPr>
            </w:pPr>
            <w:r>
              <w:rPr>
                <w:rFonts w:hint="eastAsia" w:ascii="宋体" w:hAnsi="宋体"/>
                <w:color w:val="auto"/>
                <w:spacing w:val="-4"/>
              </w:rPr>
              <w:t>(3)轮缘厚度严重磨损。</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78</w:t>
            </w:r>
          </w:p>
        </w:tc>
        <w:tc>
          <w:tcPr>
            <w:tcW w:w="678" w:type="dxa"/>
            <w:vMerge w:val="restart"/>
            <w:noWrap w:val="0"/>
            <w:vAlign w:val="center"/>
          </w:tcPr>
          <w:p>
            <w:pPr>
              <w:jc w:val="center"/>
              <w:rPr>
                <w:rFonts w:hint="eastAsia" w:ascii="宋体" w:hAnsi="宋体"/>
                <w:color w:val="auto"/>
              </w:rPr>
            </w:pPr>
            <w:r>
              <w:rPr>
                <w:rFonts w:hint="eastAsia" w:ascii="宋体" w:hAnsi="宋体"/>
                <w:color w:val="auto"/>
              </w:rPr>
              <w:t>2.6</w:t>
            </w:r>
          </w:p>
          <w:p>
            <w:pPr>
              <w:ind w:firstLine="332"/>
              <w:jc w:val="center"/>
              <w:rPr>
                <w:rFonts w:hint="eastAsia" w:ascii="宋体" w:hAnsi="宋体"/>
                <w:color w:val="auto"/>
                <w:spacing w:val="-22"/>
                <w:szCs w:val="21"/>
              </w:rPr>
            </w:pPr>
            <w:r>
              <w:rPr>
                <w:rFonts w:hint="eastAsia" w:ascii="宋体" w:hAnsi="宋体"/>
                <w:color w:val="auto"/>
                <w:spacing w:val="-22"/>
                <w:szCs w:val="21"/>
              </w:rPr>
              <w:t>电源及电缆敷设、接地、照明</w:t>
            </w:r>
          </w:p>
        </w:tc>
        <w:tc>
          <w:tcPr>
            <w:tcW w:w="915" w:type="dxa"/>
            <w:noWrap w:val="0"/>
            <w:vAlign w:val="center"/>
          </w:tcPr>
          <w:p>
            <w:pPr>
              <w:jc w:val="center"/>
              <w:rPr>
                <w:rFonts w:hint="eastAsia" w:ascii="宋体" w:hAnsi="宋体"/>
                <w:color w:val="auto"/>
              </w:rPr>
            </w:pPr>
            <w:r>
              <w:rPr>
                <w:rFonts w:hint="eastAsia" w:ascii="宋体" w:hAnsi="宋体"/>
                <w:color w:val="auto"/>
              </w:rPr>
              <w:t>2.6.1</w:t>
            </w:r>
          </w:p>
          <w:p>
            <w:pPr>
              <w:jc w:val="center"/>
              <w:rPr>
                <w:rFonts w:hint="eastAsia" w:ascii="宋体" w:hAnsi="宋体"/>
                <w:color w:val="auto"/>
                <w:spacing w:val="-20"/>
                <w:szCs w:val="21"/>
              </w:rPr>
            </w:pPr>
            <w:r>
              <w:rPr>
                <w:rFonts w:hint="eastAsia" w:ascii="宋体" w:hAnsi="宋体"/>
                <w:color w:val="auto"/>
                <w:spacing w:val="-20"/>
                <w:szCs w:val="21"/>
              </w:rPr>
              <w:t>供电系统</w:t>
            </w:r>
          </w:p>
        </w:tc>
        <w:tc>
          <w:tcPr>
            <w:tcW w:w="3525" w:type="dxa"/>
            <w:gridSpan w:val="4"/>
            <w:noWrap w:val="0"/>
            <w:vAlign w:val="center"/>
          </w:tcPr>
          <w:p>
            <w:pPr>
              <w:rPr>
                <w:rFonts w:hint="eastAsia" w:ascii="宋体" w:hAnsi="宋体"/>
                <w:color w:val="auto"/>
                <w:spacing w:val="-4"/>
              </w:rPr>
            </w:pPr>
            <w:r>
              <w:rPr>
                <w:rFonts w:hint="eastAsia" w:ascii="宋体" w:hAnsi="宋体"/>
                <w:color w:val="auto"/>
                <w:spacing w:val="-4"/>
              </w:rPr>
              <w:t>塔机供电应采用TN-S接零保护系统，供电线路的零线应与塔机的接地线严格分开。</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right"/>
        </w:trPr>
        <w:tc>
          <w:tcPr>
            <w:tcW w:w="534" w:type="dxa"/>
            <w:noWrap w:val="0"/>
            <w:vAlign w:val="center"/>
          </w:tcPr>
          <w:p>
            <w:pPr>
              <w:jc w:val="center"/>
              <w:rPr>
                <w:rFonts w:hint="eastAsia" w:ascii="宋体" w:hAnsi="宋体"/>
                <w:color w:val="auto"/>
              </w:rPr>
            </w:pPr>
            <w:r>
              <w:rPr>
                <w:rFonts w:hint="eastAsia" w:ascii="宋体" w:hAnsi="宋体"/>
                <w:color w:val="auto"/>
              </w:rPr>
              <w:t>79</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2.6.2</w:t>
            </w:r>
          </w:p>
          <w:p>
            <w:pPr>
              <w:jc w:val="center"/>
              <w:rPr>
                <w:rFonts w:hint="eastAsia" w:ascii="宋体" w:hAnsi="宋体"/>
                <w:color w:val="auto"/>
              </w:rPr>
            </w:pPr>
            <w:r>
              <w:rPr>
                <w:rFonts w:hint="eastAsia" w:ascii="宋体" w:hAnsi="宋体"/>
                <w:color w:val="auto"/>
              </w:rPr>
              <w:t>开关箱</w:t>
            </w:r>
          </w:p>
        </w:tc>
        <w:tc>
          <w:tcPr>
            <w:tcW w:w="3525" w:type="dxa"/>
            <w:gridSpan w:val="4"/>
            <w:noWrap w:val="0"/>
            <w:vAlign w:val="center"/>
          </w:tcPr>
          <w:p>
            <w:pPr>
              <w:rPr>
                <w:rFonts w:hint="eastAsia" w:ascii="宋体" w:hAnsi="宋体"/>
                <w:color w:val="auto"/>
                <w:spacing w:val="-4"/>
              </w:rPr>
            </w:pPr>
            <w:r>
              <w:rPr>
                <w:rFonts w:hint="eastAsia" w:ascii="宋体" w:hAnsi="宋体"/>
                <w:color w:val="auto"/>
                <w:spacing w:val="-4"/>
              </w:rPr>
              <w:t>塔机必须设置专用的开关箱，严禁用同一个开关箱直接控制2台及2台以上用电设备(含插座)。</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right"/>
        </w:trPr>
        <w:tc>
          <w:tcPr>
            <w:tcW w:w="534" w:type="dxa"/>
            <w:noWrap w:val="0"/>
            <w:vAlign w:val="center"/>
          </w:tcPr>
          <w:p>
            <w:pPr>
              <w:jc w:val="center"/>
              <w:rPr>
                <w:rFonts w:hint="eastAsia" w:ascii="宋体" w:hAnsi="宋体"/>
                <w:color w:val="auto"/>
              </w:rPr>
            </w:pPr>
            <w:r>
              <w:rPr>
                <w:rFonts w:hint="eastAsia" w:ascii="宋体" w:hAnsi="宋体"/>
                <w:color w:val="auto"/>
              </w:rPr>
              <w:t>80</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2.6.3</w:t>
            </w:r>
          </w:p>
          <w:p>
            <w:pPr>
              <w:jc w:val="center"/>
              <w:rPr>
                <w:rFonts w:hint="eastAsia" w:ascii="宋体" w:hAnsi="宋体"/>
                <w:color w:val="auto"/>
                <w:spacing w:val="-20"/>
                <w:szCs w:val="21"/>
              </w:rPr>
            </w:pPr>
            <w:r>
              <w:rPr>
                <w:rFonts w:hint="eastAsia" w:ascii="宋体" w:hAnsi="宋体"/>
                <w:color w:val="auto"/>
                <w:spacing w:val="-20"/>
                <w:szCs w:val="21"/>
              </w:rPr>
              <w:t>配电开关</w:t>
            </w:r>
          </w:p>
        </w:tc>
        <w:tc>
          <w:tcPr>
            <w:tcW w:w="3525" w:type="dxa"/>
            <w:gridSpan w:val="4"/>
            <w:noWrap w:val="0"/>
            <w:vAlign w:val="center"/>
          </w:tcPr>
          <w:p>
            <w:pPr>
              <w:rPr>
                <w:rFonts w:hint="eastAsia" w:ascii="宋体" w:hAnsi="宋体"/>
                <w:color w:val="auto"/>
              </w:rPr>
            </w:pPr>
            <w:r>
              <w:rPr>
                <w:rFonts w:hint="eastAsia" w:ascii="宋体" w:hAnsi="宋体"/>
                <w:color w:val="auto"/>
              </w:rPr>
              <w:t>在塔机的专用开关箱内应装设隔离开关、断路器或熔断器，以及漏电保护器，且动作正常、可靠。</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right"/>
        </w:trPr>
        <w:tc>
          <w:tcPr>
            <w:tcW w:w="534" w:type="dxa"/>
            <w:vMerge w:val="restart"/>
            <w:noWrap w:val="0"/>
            <w:vAlign w:val="center"/>
          </w:tcPr>
          <w:p>
            <w:pPr>
              <w:jc w:val="center"/>
              <w:rPr>
                <w:rFonts w:hint="eastAsia" w:ascii="宋体" w:hAnsi="宋体"/>
                <w:color w:val="auto"/>
              </w:rPr>
            </w:pPr>
            <w:r>
              <w:rPr>
                <w:rFonts w:hint="eastAsia" w:ascii="宋体" w:hAnsi="宋体"/>
                <w:color w:val="auto"/>
              </w:rPr>
              <w:t>81</w:t>
            </w:r>
          </w:p>
        </w:tc>
        <w:tc>
          <w:tcPr>
            <w:tcW w:w="678" w:type="dxa"/>
            <w:vMerge w:val="continue"/>
            <w:noWrap w:val="0"/>
            <w:vAlign w:val="center"/>
          </w:tcPr>
          <w:p>
            <w:pPr>
              <w:jc w:val="center"/>
              <w:rPr>
                <w:rFonts w:hint="eastAsia" w:ascii="宋体" w:hAnsi="宋体"/>
                <w:color w:val="auto"/>
              </w:rPr>
            </w:pPr>
          </w:p>
        </w:tc>
        <w:tc>
          <w:tcPr>
            <w:tcW w:w="915" w:type="dxa"/>
            <w:vMerge w:val="restart"/>
            <w:noWrap w:val="0"/>
            <w:vAlign w:val="center"/>
          </w:tcPr>
          <w:p>
            <w:pPr>
              <w:jc w:val="center"/>
              <w:rPr>
                <w:rFonts w:hint="eastAsia" w:ascii="宋体" w:hAnsi="宋体"/>
                <w:color w:val="auto"/>
              </w:rPr>
            </w:pPr>
            <w:r>
              <w:rPr>
                <w:rFonts w:hint="eastAsia" w:ascii="宋体" w:hAnsi="宋体"/>
                <w:color w:val="auto"/>
              </w:rPr>
              <w:t>2.6.4</w:t>
            </w:r>
          </w:p>
          <w:p>
            <w:pPr>
              <w:jc w:val="center"/>
              <w:rPr>
                <w:rFonts w:hint="eastAsia" w:ascii="宋体" w:hAnsi="宋体"/>
                <w:color w:val="auto"/>
                <w:spacing w:val="-20"/>
                <w:szCs w:val="21"/>
              </w:rPr>
            </w:pPr>
            <w:r>
              <w:rPr>
                <w:rFonts w:hint="eastAsia" w:ascii="宋体" w:hAnsi="宋体"/>
                <w:color w:val="auto"/>
                <w:spacing w:val="-20"/>
                <w:szCs w:val="21"/>
              </w:rPr>
              <w:t>电缆敷设</w:t>
            </w:r>
          </w:p>
        </w:tc>
        <w:tc>
          <w:tcPr>
            <w:tcW w:w="3525" w:type="dxa"/>
            <w:gridSpan w:val="4"/>
            <w:noWrap w:val="0"/>
            <w:vAlign w:val="center"/>
          </w:tcPr>
          <w:p>
            <w:pPr>
              <w:rPr>
                <w:rFonts w:hint="eastAsia" w:ascii="宋体" w:hAnsi="宋体"/>
                <w:color w:val="auto"/>
                <w:spacing w:val="-2"/>
                <w:szCs w:val="21"/>
              </w:rPr>
            </w:pPr>
            <w:r>
              <w:rPr>
                <w:rFonts w:hint="eastAsia" w:ascii="宋体" w:hAnsi="宋体"/>
                <w:color w:val="auto"/>
              </w:rPr>
              <w:t>电缆应采用五芯电缆。</w:t>
            </w:r>
            <w:r>
              <w:rPr>
                <w:rFonts w:hint="eastAsia" w:ascii="宋体" w:hAnsi="宋体"/>
                <w:color w:val="auto"/>
                <w:spacing w:val="-2"/>
                <w:szCs w:val="21"/>
              </w:rPr>
              <w:t>电缆可直接敷设，在有机械损伤、化学腐蚀、油污浸蚀的地方，应有防护措施。</w:t>
            </w:r>
          </w:p>
        </w:tc>
        <w:tc>
          <w:tcPr>
            <w:tcW w:w="1200" w:type="dxa"/>
            <w:noWrap w:val="0"/>
            <w:vAlign w:val="center"/>
          </w:tcPr>
          <w:p>
            <w:pPr>
              <w:jc w:val="center"/>
              <w:rPr>
                <w:rFonts w:hint="eastAsia" w:ascii="宋体" w:hAnsi="宋体"/>
                <w:color w:val="auto"/>
              </w:rPr>
            </w:pPr>
          </w:p>
        </w:tc>
        <w:tc>
          <w:tcPr>
            <w:tcW w:w="1095" w:type="dxa"/>
            <w:vMerge w:val="restart"/>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spacing w:val="-10"/>
                <w:szCs w:val="21"/>
              </w:rPr>
            </w:pPr>
            <w:r>
              <w:rPr>
                <w:rFonts w:hint="eastAsia" w:ascii="宋体" w:hAnsi="宋体"/>
                <w:color w:val="auto"/>
                <w:spacing w:val="-2"/>
                <w:szCs w:val="21"/>
              </w:rPr>
              <w:t>沿塔身垂直悬挂的电缆应使用电缆网套或其他装置悬挂，每20m设置一个悬挂点。</w:t>
            </w:r>
          </w:p>
        </w:tc>
        <w:tc>
          <w:tcPr>
            <w:tcW w:w="1200" w:type="dxa"/>
            <w:noWrap w:val="0"/>
            <w:vAlign w:val="center"/>
          </w:tcPr>
          <w:p>
            <w:pPr>
              <w:spacing w:line="240" w:lineRule="exact"/>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rPr>
            </w:pPr>
            <w:r>
              <w:rPr>
                <w:rFonts w:hint="eastAsia" w:ascii="宋体" w:hAnsi="宋体"/>
                <w:color w:val="auto"/>
                <w:spacing w:val="-2"/>
                <w:szCs w:val="21"/>
              </w:rPr>
              <w:t>电缆需接长时，应采用中间接线盒，接线盒的防护等级应不低于IP44。</w:t>
            </w:r>
          </w:p>
        </w:tc>
        <w:tc>
          <w:tcPr>
            <w:tcW w:w="1200" w:type="dxa"/>
            <w:noWrap w:val="0"/>
            <w:vAlign w:val="center"/>
          </w:tcPr>
          <w:p>
            <w:pPr>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82</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2.6.5</w:t>
            </w:r>
          </w:p>
          <w:p>
            <w:pPr>
              <w:jc w:val="center"/>
              <w:rPr>
                <w:rFonts w:hint="eastAsia" w:ascii="宋体" w:hAnsi="宋体"/>
                <w:color w:val="auto"/>
                <w:spacing w:val="-20"/>
                <w:szCs w:val="21"/>
              </w:rPr>
            </w:pPr>
            <w:r>
              <w:rPr>
                <w:rFonts w:hint="eastAsia" w:ascii="宋体" w:hAnsi="宋体"/>
                <w:color w:val="auto"/>
                <w:spacing w:val="-20"/>
                <w:szCs w:val="21"/>
              </w:rPr>
              <w:t>电缆卷筒</w:t>
            </w:r>
          </w:p>
        </w:tc>
        <w:tc>
          <w:tcPr>
            <w:tcW w:w="3525" w:type="dxa"/>
            <w:gridSpan w:val="4"/>
            <w:noWrap w:val="0"/>
            <w:vAlign w:val="center"/>
          </w:tcPr>
          <w:p>
            <w:pPr>
              <w:rPr>
                <w:rFonts w:hint="eastAsia" w:ascii="宋体" w:hAnsi="宋体"/>
                <w:color w:val="auto"/>
              </w:rPr>
            </w:pPr>
            <w:r>
              <w:rPr>
                <w:rFonts w:hint="eastAsia" w:ascii="宋体" w:hAnsi="宋体"/>
                <w:color w:val="auto"/>
                <w:szCs w:val="21"/>
              </w:rPr>
              <w:t>轨道式塔机应采用电缆卷筒或类似装置供电。电缆卷筒应具有张紧装置，电缆收放速度应与塔机运行速度同步。电缆在卷筒上的连接应牢固。</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★83</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2.6.6</w:t>
            </w:r>
          </w:p>
          <w:p>
            <w:pPr>
              <w:jc w:val="center"/>
              <w:rPr>
                <w:rFonts w:hint="eastAsia" w:ascii="宋体" w:hAnsi="宋体"/>
                <w:color w:val="auto"/>
                <w:spacing w:val="-20"/>
                <w:szCs w:val="21"/>
              </w:rPr>
            </w:pPr>
            <w:r>
              <w:rPr>
                <w:rFonts w:hint="eastAsia" w:ascii="宋体" w:hAnsi="宋体"/>
                <w:color w:val="auto"/>
                <w:spacing w:val="-20"/>
                <w:szCs w:val="21"/>
              </w:rPr>
              <w:t>绝缘电阻</w:t>
            </w:r>
          </w:p>
        </w:tc>
        <w:tc>
          <w:tcPr>
            <w:tcW w:w="3525" w:type="dxa"/>
            <w:gridSpan w:val="4"/>
            <w:noWrap w:val="0"/>
            <w:vAlign w:val="center"/>
          </w:tcPr>
          <w:p>
            <w:pPr>
              <w:rPr>
                <w:rFonts w:hint="eastAsia" w:ascii="宋体" w:hAnsi="宋体"/>
                <w:color w:val="auto"/>
                <w:szCs w:val="21"/>
              </w:rPr>
            </w:pPr>
            <w:r>
              <w:rPr>
                <w:rFonts w:hint="eastAsia" w:ascii="宋体" w:hAnsi="宋体"/>
                <w:color w:val="auto"/>
                <w:szCs w:val="21"/>
              </w:rPr>
              <w:t>主电路和控制电路的对地绝缘电阻应≥0.5 MΩ。</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right"/>
        </w:trPr>
        <w:tc>
          <w:tcPr>
            <w:tcW w:w="534" w:type="dxa"/>
            <w:vMerge w:val="restart"/>
            <w:noWrap w:val="0"/>
            <w:vAlign w:val="center"/>
          </w:tcPr>
          <w:p>
            <w:pPr>
              <w:jc w:val="center"/>
              <w:rPr>
                <w:rFonts w:hint="eastAsia" w:ascii="宋体" w:hAnsi="宋体"/>
                <w:color w:val="auto"/>
              </w:rPr>
            </w:pPr>
            <w:r>
              <w:rPr>
                <w:rFonts w:hint="eastAsia" w:ascii="宋体" w:hAnsi="宋体"/>
                <w:color w:val="auto"/>
              </w:rPr>
              <w:t>★84</w:t>
            </w:r>
          </w:p>
        </w:tc>
        <w:tc>
          <w:tcPr>
            <w:tcW w:w="678" w:type="dxa"/>
            <w:vMerge w:val="continue"/>
            <w:noWrap w:val="0"/>
            <w:vAlign w:val="center"/>
          </w:tcPr>
          <w:p>
            <w:pPr>
              <w:jc w:val="center"/>
              <w:rPr>
                <w:rFonts w:hint="eastAsia" w:ascii="宋体" w:hAnsi="宋体"/>
                <w:color w:val="auto"/>
              </w:rPr>
            </w:pPr>
          </w:p>
        </w:tc>
        <w:tc>
          <w:tcPr>
            <w:tcW w:w="915" w:type="dxa"/>
            <w:vMerge w:val="restart"/>
            <w:noWrap w:val="0"/>
            <w:vAlign w:val="center"/>
          </w:tcPr>
          <w:p>
            <w:pPr>
              <w:jc w:val="center"/>
              <w:rPr>
                <w:rFonts w:hint="eastAsia" w:ascii="宋体" w:hAnsi="宋体"/>
                <w:color w:val="auto"/>
              </w:rPr>
            </w:pPr>
            <w:r>
              <w:rPr>
                <w:rFonts w:hint="eastAsia" w:ascii="宋体" w:hAnsi="宋体"/>
                <w:color w:val="auto"/>
              </w:rPr>
              <w:t>2.6.7</w:t>
            </w:r>
          </w:p>
          <w:p>
            <w:pPr>
              <w:jc w:val="center"/>
              <w:rPr>
                <w:rFonts w:hint="eastAsia" w:ascii="宋体" w:hAnsi="宋体"/>
                <w:color w:val="auto"/>
                <w:spacing w:val="-20"/>
                <w:szCs w:val="21"/>
              </w:rPr>
            </w:pPr>
            <w:r>
              <w:rPr>
                <w:rFonts w:hint="eastAsia" w:ascii="宋体" w:hAnsi="宋体"/>
                <w:color w:val="auto"/>
                <w:spacing w:val="-20"/>
                <w:szCs w:val="21"/>
              </w:rPr>
              <w:t>接地保护</w:t>
            </w:r>
          </w:p>
        </w:tc>
        <w:tc>
          <w:tcPr>
            <w:tcW w:w="3525" w:type="dxa"/>
            <w:gridSpan w:val="4"/>
            <w:noWrap w:val="0"/>
            <w:vAlign w:val="center"/>
          </w:tcPr>
          <w:p>
            <w:pPr>
              <w:rPr>
                <w:rFonts w:hint="eastAsia" w:ascii="宋体" w:hAnsi="宋体"/>
                <w:color w:val="auto"/>
              </w:rPr>
            </w:pPr>
            <w:r>
              <w:rPr>
                <w:rFonts w:hint="eastAsia" w:ascii="宋体" w:hAnsi="宋体"/>
                <w:color w:val="auto"/>
                <w:spacing w:val="-4"/>
              </w:rPr>
              <w:t>塔机主体结构、轨道、电机机座和所有电气设备的金属外壳、导线的金属保护管、安全照明的变压器低压侧等均应可靠接地，接地电阻应≤4Ω，采用重复接地时，其接地电阻应≤10Ω。</w:t>
            </w:r>
          </w:p>
        </w:tc>
        <w:tc>
          <w:tcPr>
            <w:tcW w:w="1200" w:type="dxa"/>
            <w:noWrap w:val="0"/>
            <w:vAlign w:val="center"/>
          </w:tcPr>
          <w:p>
            <w:pPr>
              <w:jc w:val="center"/>
              <w:rPr>
                <w:rFonts w:hint="eastAsia" w:ascii="宋体" w:hAnsi="宋体"/>
                <w:color w:val="auto"/>
              </w:rPr>
            </w:pPr>
          </w:p>
        </w:tc>
        <w:tc>
          <w:tcPr>
            <w:tcW w:w="1095" w:type="dxa"/>
            <w:vMerge w:val="restart"/>
            <w:noWrap w:val="0"/>
            <w:vAlign w:val="center"/>
          </w:tcPr>
          <w:p>
            <w:pPr>
              <w:jc w:val="center"/>
              <w:rPr>
                <w:rFonts w:hint="eastAsia" w:ascii="宋体" w:hAnsi="宋体"/>
                <w:color w:val="auto"/>
              </w:rPr>
            </w:pPr>
          </w:p>
        </w:tc>
        <w:tc>
          <w:tcPr>
            <w:tcW w:w="1290" w:type="dxa"/>
            <w:noWrap w:val="0"/>
            <w:vAlign w:val="center"/>
          </w:tcPr>
          <w:p>
            <w:pPr>
              <w:jc w:val="center"/>
              <w:rPr>
                <w:rFonts w:ascii="宋体" w:hAnsi="宋体"/>
                <w:color w:val="auto"/>
              </w:rPr>
            </w:pPr>
            <w:r>
              <w:rPr>
                <w:rFonts w:hint="eastAsia" w:ascii="宋体" w:hAnsi="宋体"/>
                <w:color w:val="auto"/>
              </w:rPr>
              <w:t>实测接地电阻符合要求，接地线未连接，整改即可，因塔机整体钢结构已经接地，多年以来没有出现过漏电伤人事故</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rPr>
            </w:pPr>
            <w:r>
              <w:rPr>
                <w:rFonts w:hint="eastAsia" w:ascii="宋体" w:hAnsi="宋体"/>
                <w:color w:val="auto"/>
                <w:spacing w:val="-4"/>
              </w:rPr>
              <w:t>司机室内电气设备的金属外壳应与塔机金属结构进行电气连接。</w:t>
            </w:r>
          </w:p>
        </w:tc>
        <w:tc>
          <w:tcPr>
            <w:tcW w:w="1200" w:type="dxa"/>
            <w:noWrap w:val="0"/>
            <w:vAlign w:val="center"/>
          </w:tcPr>
          <w:p>
            <w:pPr>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noWrap w:val="0"/>
            <w:vAlign w:val="center"/>
          </w:tcPr>
          <w:p>
            <w:pPr>
              <w:jc w:val="center"/>
              <w:rPr>
                <w:rFonts w:ascii="宋体" w:hAnsi="宋体"/>
                <w:color w:val="auto"/>
              </w:rPr>
            </w:pPr>
            <w:r>
              <w:rPr>
                <w:rFonts w:hint="eastAsia" w:ascii="宋体" w:hAnsi="宋体"/>
                <w:color w:val="auto"/>
              </w:rPr>
              <w:t>实测接地电阻符合要求，接地线未连接，整改即可，因塔机整体钢结构已经接地，多年以来没有出现过漏电伤人事故，</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restart"/>
            <w:noWrap w:val="0"/>
            <w:vAlign w:val="center"/>
          </w:tcPr>
          <w:p>
            <w:pPr>
              <w:jc w:val="center"/>
              <w:rPr>
                <w:rFonts w:hint="eastAsia" w:ascii="宋体" w:hAnsi="宋体"/>
                <w:color w:val="auto"/>
              </w:rPr>
            </w:pPr>
            <w:r>
              <w:rPr>
                <w:rFonts w:hint="eastAsia" w:ascii="宋体" w:hAnsi="宋体"/>
                <w:color w:val="auto"/>
              </w:rPr>
              <w:t>85</w:t>
            </w:r>
          </w:p>
        </w:tc>
        <w:tc>
          <w:tcPr>
            <w:tcW w:w="678" w:type="dxa"/>
            <w:vMerge w:val="continue"/>
            <w:noWrap w:val="0"/>
            <w:vAlign w:val="center"/>
          </w:tcPr>
          <w:p>
            <w:pPr>
              <w:jc w:val="center"/>
              <w:rPr>
                <w:rFonts w:hint="eastAsia" w:ascii="宋体" w:hAnsi="宋体"/>
                <w:color w:val="auto"/>
              </w:rPr>
            </w:pPr>
          </w:p>
        </w:tc>
        <w:tc>
          <w:tcPr>
            <w:tcW w:w="915" w:type="dxa"/>
            <w:vMerge w:val="restart"/>
            <w:noWrap w:val="0"/>
            <w:vAlign w:val="center"/>
          </w:tcPr>
          <w:p>
            <w:pPr>
              <w:jc w:val="center"/>
              <w:rPr>
                <w:rFonts w:hint="eastAsia" w:ascii="宋体" w:hAnsi="宋体"/>
                <w:color w:val="auto"/>
              </w:rPr>
            </w:pPr>
            <w:r>
              <w:rPr>
                <w:rFonts w:hint="eastAsia" w:ascii="宋体" w:hAnsi="宋体"/>
                <w:color w:val="auto"/>
              </w:rPr>
              <w:t>2.6.8</w:t>
            </w:r>
          </w:p>
          <w:p>
            <w:pPr>
              <w:jc w:val="center"/>
              <w:rPr>
                <w:rFonts w:hint="eastAsia" w:ascii="宋体" w:hAnsi="宋体"/>
                <w:color w:val="auto"/>
              </w:rPr>
            </w:pPr>
            <w:r>
              <w:rPr>
                <w:rFonts w:hint="eastAsia" w:ascii="宋体" w:hAnsi="宋体"/>
                <w:color w:val="auto"/>
              </w:rPr>
              <w:t>司机室照明</w:t>
            </w:r>
          </w:p>
        </w:tc>
        <w:tc>
          <w:tcPr>
            <w:tcW w:w="3525" w:type="dxa"/>
            <w:gridSpan w:val="4"/>
            <w:noWrap w:val="0"/>
            <w:vAlign w:val="center"/>
          </w:tcPr>
          <w:p>
            <w:pPr>
              <w:rPr>
                <w:rFonts w:hint="eastAsia" w:ascii="宋体" w:hAnsi="宋体"/>
                <w:color w:val="auto"/>
                <w:spacing w:val="-4"/>
              </w:rPr>
            </w:pPr>
            <w:r>
              <w:rPr>
                <w:rFonts w:hint="eastAsia" w:ascii="宋体" w:hAnsi="宋体"/>
                <w:color w:val="auto"/>
                <w:spacing w:val="-4"/>
              </w:rPr>
              <w:t>司机室应设有良好的照明，照明的供电不受停机影响。</w:t>
            </w:r>
          </w:p>
        </w:tc>
        <w:tc>
          <w:tcPr>
            <w:tcW w:w="1200" w:type="dxa"/>
            <w:noWrap w:val="0"/>
            <w:vAlign w:val="center"/>
          </w:tcPr>
          <w:p>
            <w:pPr>
              <w:jc w:val="center"/>
              <w:rPr>
                <w:rFonts w:hint="eastAsia" w:ascii="宋体" w:hAnsi="宋体"/>
                <w:color w:val="auto"/>
              </w:rPr>
            </w:pPr>
          </w:p>
        </w:tc>
        <w:tc>
          <w:tcPr>
            <w:tcW w:w="1095" w:type="dxa"/>
            <w:vMerge w:val="restart"/>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spacing w:val="-4"/>
              </w:rPr>
            </w:pPr>
            <w:r>
              <w:rPr>
                <w:rFonts w:hint="eastAsia" w:ascii="宋体" w:hAnsi="宋体"/>
                <w:color w:val="auto"/>
                <w:spacing w:val="-4"/>
              </w:rPr>
              <w:t>固定式照明装置的电源电压不应超过220V。严禁用金属结构作为照明线路的回路。</w:t>
            </w:r>
          </w:p>
        </w:tc>
        <w:tc>
          <w:tcPr>
            <w:tcW w:w="1200" w:type="dxa"/>
            <w:noWrap w:val="0"/>
            <w:vAlign w:val="center"/>
          </w:tcPr>
          <w:p>
            <w:pPr>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rPr>
            </w:pPr>
            <w:r>
              <w:rPr>
                <w:rFonts w:hint="eastAsia" w:ascii="宋体" w:hAnsi="宋体"/>
                <w:color w:val="auto"/>
                <w:spacing w:val="-4"/>
              </w:rPr>
              <w:t>可携式照明装置的电源电压不应超过48V，交流供电的严禁使用自耦变压器。</w:t>
            </w:r>
          </w:p>
        </w:tc>
        <w:tc>
          <w:tcPr>
            <w:tcW w:w="1200" w:type="dxa"/>
            <w:noWrap w:val="0"/>
            <w:vAlign w:val="center"/>
          </w:tcPr>
          <w:p>
            <w:pPr>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restart"/>
            <w:noWrap w:val="0"/>
            <w:vAlign w:val="center"/>
          </w:tcPr>
          <w:p>
            <w:pPr>
              <w:jc w:val="center"/>
              <w:rPr>
                <w:rFonts w:hint="eastAsia" w:ascii="宋体" w:hAnsi="宋体"/>
                <w:color w:val="auto"/>
              </w:rPr>
            </w:pPr>
            <w:r>
              <w:rPr>
                <w:rFonts w:hint="eastAsia" w:ascii="宋体" w:hAnsi="宋体"/>
                <w:color w:val="auto"/>
              </w:rPr>
              <w:t>★86</w:t>
            </w:r>
          </w:p>
        </w:tc>
        <w:tc>
          <w:tcPr>
            <w:tcW w:w="678" w:type="dxa"/>
            <w:vMerge w:val="restart"/>
            <w:noWrap w:val="0"/>
            <w:vAlign w:val="center"/>
          </w:tcPr>
          <w:p>
            <w:pPr>
              <w:jc w:val="center"/>
              <w:rPr>
                <w:rFonts w:hint="eastAsia" w:ascii="宋体" w:hAnsi="宋体"/>
                <w:color w:val="auto"/>
              </w:rPr>
            </w:pPr>
            <w:r>
              <w:rPr>
                <w:rFonts w:hint="eastAsia" w:ascii="宋体" w:hAnsi="宋体"/>
                <w:color w:val="auto"/>
              </w:rPr>
              <w:t>3.</w:t>
            </w:r>
          </w:p>
          <w:p>
            <w:pPr>
              <w:jc w:val="center"/>
              <w:rPr>
                <w:rFonts w:hint="eastAsia" w:ascii="宋体" w:hAnsi="宋体"/>
                <w:color w:val="auto"/>
              </w:rPr>
            </w:pPr>
            <w:r>
              <w:rPr>
                <w:rFonts w:hint="eastAsia" w:ascii="宋体" w:hAnsi="宋体"/>
                <w:color w:val="auto"/>
              </w:rPr>
              <w:t>安全装置及其性能</w:t>
            </w:r>
          </w:p>
        </w:tc>
        <w:tc>
          <w:tcPr>
            <w:tcW w:w="915" w:type="dxa"/>
            <w:vMerge w:val="restart"/>
            <w:noWrap w:val="0"/>
            <w:vAlign w:val="center"/>
          </w:tcPr>
          <w:p>
            <w:pPr>
              <w:jc w:val="center"/>
              <w:rPr>
                <w:rFonts w:hint="eastAsia" w:ascii="宋体" w:hAnsi="宋体"/>
                <w:color w:val="auto"/>
              </w:rPr>
            </w:pPr>
            <w:r>
              <w:rPr>
                <w:rFonts w:hint="eastAsia" w:ascii="宋体" w:hAnsi="宋体"/>
                <w:color w:val="auto"/>
              </w:rPr>
              <w:t>3.0.1</w:t>
            </w:r>
          </w:p>
          <w:p>
            <w:pPr>
              <w:jc w:val="center"/>
              <w:rPr>
                <w:rFonts w:hint="eastAsia" w:ascii="宋体" w:hAnsi="宋体"/>
                <w:color w:val="auto"/>
              </w:rPr>
            </w:pPr>
            <w:r>
              <w:rPr>
                <w:rFonts w:hint="eastAsia" w:ascii="宋体" w:hAnsi="宋体"/>
                <w:color w:val="auto"/>
              </w:rPr>
              <w:t>力矩限制器</w:t>
            </w:r>
          </w:p>
        </w:tc>
        <w:tc>
          <w:tcPr>
            <w:tcW w:w="3525" w:type="dxa"/>
            <w:gridSpan w:val="4"/>
            <w:noWrap w:val="0"/>
            <w:vAlign w:val="center"/>
          </w:tcPr>
          <w:p>
            <w:pPr>
              <w:rPr>
                <w:rFonts w:hint="eastAsia" w:ascii="宋体" w:hAnsi="宋体"/>
                <w:color w:val="auto"/>
                <w:spacing w:val="-4"/>
              </w:rPr>
            </w:pPr>
            <w:r>
              <w:rPr>
                <w:rFonts w:hint="eastAsia" w:ascii="宋体" w:hAnsi="宋体"/>
                <w:color w:val="auto"/>
                <w:spacing w:val="-4"/>
              </w:rPr>
              <w:t>塔机必须安装起重力矩限制器，且动作准确、可靠。</w:t>
            </w:r>
          </w:p>
        </w:tc>
        <w:tc>
          <w:tcPr>
            <w:tcW w:w="1200" w:type="dxa"/>
            <w:vMerge w:val="restart"/>
            <w:noWrap w:val="0"/>
            <w:vAlign w:val="center"/>
          </w:tcPr>
          <w:p>
            <w:pPr>
              <w:jc w:val="center"/>
              <w:rPr>
                <w:rFonts w:ascii="宋体" w:hAnsi="宋体"/>
                <w:color w:val="auto"/>
              </w:rPr>
            </w:pPr>
          </w:p>
        </w:tc>
        <w:tc>
          <w:tcPr>
            <w:tcW w:w="1095" w:type="dxa"/>
            <w:vMerge w:val="restart"/>
            <w:noWrap w:val="0"/>
            <w:vAlign w:val="center"/>
          </w:tcPr>
          <w:p>
            <w:pPr>
              <w:jc w:val="center"/>
              <w:rPr>
                <w:rFonts w:ascii="宋体" w:hAnsi="宋体"/>
                <w:color w:val="auto"/>
              </w:rPr>
            </w:pPr>
            <w:r>
              <w:rPr>
                <w:rFonts w:hint="eastAsia" w:ascii="宋体" w:hAnsi="宋体"/>
                <w:color w:val="auto"/>
              </w:rPr>
              <w:t>起重力矩限制器安装位置私自调整，力矩限制器失效、影响安全使用</w:t>
            </w:r>
          </w:p>
        </w:tc>
        <w:tc>
          <w:tcPr>
            <w:tcW w:w="1290" w:type="dxa"/>
            <w:vMerge w:val="restart"/>
            <w:noWrap w:val="0"/>
            <w:vAlign w:val="center"/>
          </w:tcPr>
          <w:p>
            <w:pPr>
              <w:jc w:val="center"/>
              <w:rPr>
                <w:rFonts w:ascii="宋体" w:hAnsi="宋体"/>
                <w:color w:val="auto"/>
              </w:rPr>
            </w:pPr>
            <w:r>
              <w:rPr>
                <w:rFonts w:hint="eastAsia" w:ascii="宋体" w:hAnsi="宋体"/>
                <w:color w:val="auto"/>
              </w:rPr>
              <w:t>起重力矩限制器有效，不影响安全使用，仅</w:t>
            </w:r>
            <w:r>
              <w:rPr>
                <w:rFonts w:hint="eastAsia" w:ascii="宋体" w:hAnsi="宋体"/>
                <w:color w:val="auto"/>
                <w:spacing w:val="-4"/>
              </w:rPr>
              <w:t>定码变幅的触点和控制定幅变码的触点应分别设置，整改即可</w:t>
            </w:r>
          </w:p>
        </w:tc>
        <w:tc>
          <w:tcPr>
            <w:tcW w:w="1014" w:type="dxa"/>
            <w:vMerge w:val="restart"/>
            <w:noWrap w:val="0"/>
            <w:vAlign w:val="center"/>
          </w:tcPr>
          <w:p>
            <w:pPr>
              <w:jc w:val="center"/>
              <w:rPr>
                <w:rFonts w:ascii="宋体" w:hAnsi="宋体"/>
                <w:color w:val="auto"/>
              </w:rPr>
            </w:pPr>
            <w:r>
              <w:rPr>
                <w:rFonts w:hint="eastAsia" w:ascii="宋体" w:hAnsi="宋体"/>
                <w:color w:val="auto"/>
              </w:rPr>
              <w:t>如果力矩限制器出厂设置</w:t>
            </w:r>
            <w:r>
              <w:rPr>
                <w:rFonts w:hint="eastAsia" w:ascii="宋体" w:hAnsi="宋体"/>
                <w:color w:val="auto"/>
                <w:spacing w:val="-4"/>
              </w:rPr>
              <w:t>定码变幅的触点和控制定幅变码的触点就未分别设置，即两个行程开关都分别控制了变幅和起升两个功能，实际上起了双重保护作用的，安全系数更高，建议可以不用整改，继续使用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spacing w:val="-4"/>
              </w:rPr>
            </w:pPr>
            <w:r>
              <w:rPr>
                <w:rFonts w:hint="eastAsia" w:ascii="宋体" w:hAnsi="宋体"/>
                <w:color w:val="auto"/>
                <w:spacing w:val="-4"/>
              </w:rPr>
              <w:t>力矩限制器控制定码变幅的触点和控制定幅变码的触点应分别设置，且能分别调整。</w:t>
            </w:r>
          </w:p>
        </w:tc>
        <w:tc>
          <w:tcPr>
            <w:tcW w:w="1200" w:type="dxa"/>
            <w:vMerge w:val="continue"/>
            <w:noWrap w:val="0"/>
            <w:vAlign w:val="center"/>
          </w:tcPr>
          <w:p>
            <w:pPr>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vMerge w:val="continue"/>
            <w:noWrap w:val="0"/>
            <w:vAlign w:val="center"/>
          </w:tcPr>
          <w:p>
            <w:pPr>
              <w:jc w:val="center"/>
              <w:rPr>
                <w:rFonts w:hint="eastAsia" w:ascii="宋体" w:hAnsi="宋体"/>
                <w:color w:val="auto"/>
              </w:rPr>
            </w:pPr>
          </w:p>
        </w:tc>
        <w:tc>
          <w:tcPr>
            <w:tcW w:w="1014" w:type="dxa"/>
            <w:vMerge w:val="continue"/>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right"/>
        </w:trPr>
        <w:tc>
          <w:tcPr>
            <w:tcW w:w="534" w:type="dxa"/>
            <w:noWrap w:val="0"/>
            <w:vAlign w:val="center"/>
          </w:tcPr>
          <w:p>
            <w:pPr>
              <w:jc w:val="center"/>
              <w:rPr>
                <w:rFonts w:hint="eastAsia" w:ascii="宋体" w:hAnsi="宋体"/>
                <w:color w:val="auto"/>
              </w:rPr>
            </w:pPr>
            <w:r>
              <w:rPr>
                <w:rFonts w:hint="eastAsia" w:ascii="宋体" w:hAnsi="宋体"/>
                <w:color w:val="auto"/>
              </w:rPr>
              <w:t>★87</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spacing w:line="280" w:lineRule="exact"/>
              <w:jc w:val="center"/>
              <w:rPr>
                <w:rFonts w:hint="eastAsia" w:ascii="宋体" w:hAnsi="宋体"/>
                <w:color w:val="auto"/>
              </w:rPr>
            </w:pPr>
            <w:r>
              <w:rPr>
                <w:rFonts w:hint="eastAsia" w:ascii="宋体" w:hAnsi="宋体"/>
                <w:color w:val="auto"/>
              </w:rPr>
              <w:t>3.0.2</w:t>
            </w:r>
          </w:p>
          <w:p>
            <w:pPr>
              <w:spacing w:line="280" w:lineRule="exact"/>
              <w:jc w:val="center"/>
              <w:rPr>
                <w:rFonts w:hint="eastAsia" w:ascii="宋体" w:hAnsi="宋体"/>
                <w:color w:val="auto"/>
              </w:rPr>
            </w:pPr>
            <w:r>
              <w:rPr>
                <w:rFonts w:hint="eastAsia" w:ascii="宋体" w:hAnsi="宋体"/>
                <w:color w:val="auto"/>
              </w:rPr>
              <w:t>起重量限制器</w:t>
            </w:r>
          </w:p>
        </w:tc>
        <w:tc>
          <w:tcPr>
            <w:tcW w:w="3525" w:type="dxa"/>
            <w:gridSpan w:val="4"/>
            <w:noWrap w:val="0"/>
            <w:vAlign w:val="center"/>
          </w:tcPr>
          <w:p>
            <w:pPr>
              <w:rPr>
                <w:rFonts w:hint="eastAsia" w:ascii="宋体" w:hAnsi="宋体"/>
                <w:color w:val="auto"/>
                <w:spacing w:val="-4"/>
              </w:rPr>
            </w:pPr>
            <w:r>
              <w:rPr>
                <w:rFonts w:hint="eastAsia" w:ascii="宋体" w:hAnsi="宋体"/>
                <w:color w:val="auto"/>
                <w:spacing w:val="-4"/>
              </w:rPr>
              <w:t>塔机应安装起重量限制器，且经安装单位调试合格。</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起重量限制器失效</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★88</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3.0.3</w:t>
            </w:r>
          </w:p>
          <w:p>
            <w:pPr>
              <w:jc w:val="center"/>
              <w:rPr>
                <w:rFonts w:hint="eastAsia" w:ascii="宋体" w:hAnsi="宋体"/>
                <w:color w:val="auto"/>
                <w:spacing w:val="-20"/>
                <w:szCs w:val="21"/>
              </w:rPr>
            </w:pPr>
            <w:r>
              <w:rPr>
                <w:rFonts w:hint="eastAsia" w:ascii="宋体" w:hAnsi="宋体"/>
                <w:color w:val="auto"/>
                <w:spacing w:val="-20"/>
                <w:szCs w:val="21"/>
              </w:rPr>
              <w:t>起升高度</w:t>
            </w:r>
          </w:p>
          <w:p>
            <w:pPr>
              <w:jc w:val="center"/>
              <w:rPr>
                <w:rFonts w:hint="eastAsia" w:ascii="宋体" w:hAnsi="宋体"/>
                <w:color w:val="auto"/>
              </w:rPr>
            </w:pPr>
            <w:r>
              <w:rPr>
                <w:rFonts w:hint="eastAsia" w:ascii="宋体" w:hAnsi="宋体"/>
                <w:color w:val="auto"/>
              </w:rPr>
              <w:t>限位器</w:t>
            </w:r>
          </w:p>
        </w:tc>
        <w:tc>
          <w:tcPr>
            <w:tcW w:w="3525" w:type="dxa"/>
            <w:gridSpan w:val="4"/>
            <w:noWrap w:val="0"/>
            <w:vAlign w:val="center"/>
          </w:tcPr>
          <w:p>
            <w:pPr>
              <w:rPr>
                <w:rFonts w:hint="eastAsia" w:ascii="宋体" w:hAnsi="宋体"/>
                <w:color w:val="auto"/>
              </w:rPr>
            </w:pPr>
            <w:r>
              <w:rPr>
                <w:rFonts w:hint="eastAsia" w:ascii="宋体" w:hAnsi="宋体"/>
                <w:color w:val="auto"/>
              </w:rPr>
              <w:t>塔机应安装吊钩上极限位置的起升高度限位器。当吊钩装置起升到规定极限位置时，应能停止吊钩起升，但吊钩应能作下降方向运动。</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ascii="宋体" w:hAnsi="宋体"/>
                <w:color w:val="auto"/>
              </w:rPr>
            </w:pPr>
            <w:r>
              <w:rPr>
                <w:rFonts w:hint="eastAsia" w:ascii="宋体" w:hAnsi="宋体"/>
                <w:color w:val="auto"/>
              </w:rPr>
              <w:t>起重高度限位失效</w:t>
            </w:r>
          </w:p>
        </w:tc>
        <w:tc>
          <w:tcPr>
            <w:tcW w:w="1290" w:type="dxa"/>
            <w:noWrap w:val="0"/>
            <w:vAlign w:val="center"/>
          </w:tcPr>
          <w:p>
            <w:pPr>
              <w:jc w:val="center"/>
              <w:rPr>
                <w:rFonts w:hint="eastAsia" w:ascii="宋体" w:hAnsi="宋体"/>
                <w:color w:val="auto"/>
              </w:rPr>
            </w:pP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89</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3.0.4</w:t>
            </w:r>
          </w:p>
          <w:p>
            <w:pPr>
              <w:jc w:val="center"/>
              <w:rPr>
                <w:rFonts w:hint="eastAsia" w:ascii="宋体" w:hAnsi="宋体"/>
                <w:color w:val="auto"/>
              </w:rPr>
            </w:pPr>
            <w:r>
              <w:rPr>
                <w:rFonts w:hint="eastAsia" w:ascii="宋体" w:hAnsi="宋体"/>
                <w:color w:val="auto"/>
              </w:rPr>
              <w:t>起升下限位器</w:t>
            </w:r>
          </w:p>
        </w:tc>
        <w:tc>
          <w:tcPr>
            <w:tcW w:w="3525" w:type="dxa"/>
            <w:gridSpan w:val="4"/>
            <w:noWrap w:val="0"/>
            <w:vAlign w:val="center"/>
          </w:tcPr>
          <w:p>
            <w:pPr>
              <w:rPr>
                <w:rFonts w:hint="eastAsia" w:ascii="宋体" w:hAnsi="宋体"/>
                <w:color w:val="auto"/>
              </w:rPr>
            </w:pPr>
            <w:r>
              <w:rPr>
                <w:rFonts w:hint="eastAsia" w:ascii="宋体" w:hAnsi="宋体"/>
                <w:color w:val="auto"/>
              </w:rPr>
              <w:t>当钢丝绳松驰可能造成卷筒乱绳或反卷时应设置下限位器，在吊钩不能再下降或卷筒上钢丝绳只剩3圈时应能立即停止下降运动。</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restart"/>
            <w:noWrap w:val="0"/>
            <w:vAlign w:val="center"/>
          </w:tcPr>
          <w:p>
            <w:pPr>
              <w:jc w:val="center"/>
              <w:rPr>
                <w:rFonts w:hint="eastAsia" w:ascii="宋体" w:hAnsi="宋体"/>
                <w:color w:val="auto"/>
              </w:rPr>
            </w:pPr>
            <w:r>
              <w:rPr>
                <w:rFonts w:hint="eastAsia" w:ascii="宋体" w:hAnsi="宋体"/>
                <w:color w:val="auto"/>
              </w:rPr>
              <w:t>★90</w:t>
            </w:r>
          </w:p>
        </w:tc>
        <w:tc>
          <w:tcPr>
            <w:tcW w:w="678" w:type="dxa"/>
            <w:vMerge w:val="restart"/>
            <w:noWrap w:val="0"/>
            <w:vAlign w:val="center"/>
          </w:tcPr>
          <w:p>
            <w:pPr>
              <w:jc w:val="center"/>
              <w:rPr>
                <w:rFonts w:hint="eastAsia" w:ascii="宋体" w:hAnsi="宋体"/>
                <w:color w:val="auto"/>
              </w:rPr>
            </w:pPr>
            <w:r>
              <w:rPr>
                <w:rFonts w:hint="eastAsia" w:ascii="宋体" w:hAnsi="宋体"/>
                <w:color w:val="auto"/>
              </w:rPr>
              <w:t>3.</w:t>
            </w:r>
          </w:p>
          <w:p>
            <w:pPr>
              <w:jc w:val="center"/>
              <w:rPr>
                <w:rFonts w:hint="eastAsia" w:ascii="宋体" w:hAnsi="宋体"/>
                <w:color w:val="auto"/>
              </w:rPr>
            </w:pPr>
            <w:r>
              <w:rPr>
                <w:rFonts w:hint="eastAsia" w:ascii="宋体" w:hAnsi="宋体"/>
                <w:color w:val="auto"/>
              </w:rPr>
              <w:t>安全装置及其性能</w:t>
            </w:r>
          </w:p>
        </w:tc>
        <w:tc>
          <w:tcPr>
            <w:tcW w:w="915" w:type="dxa"/>
            <w:vMerge w:val="restart"/>
            <w:noWrap w:val="0"/>
            <w:vAlign w:val="center"/>
          </w:tcPr>
          <w:p>
            <w:pPr>
              <w:jc w:val="center"/>
              <w:rPr>
                <w:rFonts w:hint="eastAsia" w:ascii="宋体" w:hAnsi="宋体"/>
                <w:color w:val="auto"/>
              </w:rPr>
            </w:pPr>
            <w:r>
              <w:rPr>
                <w:rFonts w:hint="eastAsia" w:ascii="宋体" w:hAnsi="宋体"/>
                <w:color w:val="auto"/>
              </w:rPr>
              <w:t>3.0.5</w:t>
            </w:r>
          </w:p>
          <w:p>
            <w:pPr>
              <w:jc w:val="center"/>
              <w:rPr>
                <w:rFonts w:hint="eastAsia" w:ascii="宋体" w:hAnsi="宋体"/>
                <w:color w:val="auto"/>
              </w:rPr>
            </w:pPr>
            <w:r>
              <w:rPr>
                <w:rFonts w:hint="eastAsia" w:ascii="宋体" w:hAnsi="宋体"/>
                <w:color w:val="auto"/>
              </w:rPr>
              <w:t>幅度限位装置</w:t>
            </w:r>
          </w:p>
        </w:tc>
        <w:tc>
          <w:tcPr>
            <w:tcW w:w="3525" w:type="dxa"/>
            <w:gridSpan w:val="4"/>
            <w:noWrap w:val="0"/>
            <w:vAlign w:val="center"/>
          </w:tcPr>
          <w:p>
            <w:pPr>
              <w:rPr>
                <w:rFonts w:hint="eastAsia" w:ascii="宋体" w:hAnsi="宋体"/>
                <w:color w:val="auto"/>
              </w:rPr>
            </w:pPr>
            <w:r>
              <w:rPr>
                <w:rFonts w:hint="eastAsia" w:ascii="宋体" w:hAnsi="宋体"/>
                <w:color w:val="auto"/>
              </w:rPr>
              <w:t>对小车变幅塔机，应设置小车行程限位开关和终端缓冲装置，限位开关应动作准确、可靠。</w:t>
            </w:r>
          </w:p>
        </w:tc>
        <w:tc>
          <w:tcPr>
            <w:tcW w:w="1200" w:type="dxa"/>
            <w:noWrap w:val="0"/>
            <w:vAlign w:val="center"/>
          </w:tcPr>
          <w:p>
            <w:pPr>
              <w:jc w:val="center"/>
              <w:rPr>
                <w:rFonts w:hint="eastAsia" w:ascii="宋体" w:hAnsi="宋体"/>
                <w:color w:val="auto"/>
              </w:rPr>
            </w:pPr>
          </w:p>
        </w:tc>
        <w:tc>
          <w:tcPr>
            <w:tcW w:w="1095" w:type="dxa"/>
            <w:vMerge w:val="restart"/>
            <w:noWrap w:val="0"/>
            <w:vAlign w:val="center"/>
          </w:tcPr>
          <w:p>
            <w:pPr>
              <w:jc w:val="center"/>
              <w:rPr>
                <w:rFonts w:ascii="宋体" w:hAnsi="宋体"/>
                <w:color w:val="auto"/>
              </w:rPr>
            </w:pPr>
          </w:p>
        </w:tc>
        <w:tc>
          <w:tcPr>
            <w:tcW w:w="1290" w:type="dxa"/>
            <w:noWrap w:val="0"/>
            <w:vAlign w:val="center"/>
          </w:tcPr>
          <w:p>
            <w:pPr>
              <w:jc w:val="center"/>
              <w:rPr>
                <w:rFonts w:ascii="宋体" w:hAnsi="宋体"/>
                <w:color w:val="auto"/>
              </w:rPr>
            </w:pPr>
            <w:r>
              <w:rPr>
                <w:rFonts w:hint="eastAsia" w:ascii="宋体" w:hAnsi="宋体"/>
                <w:color w:val="auto"/>
              </w:rPr>
              <w:t>缓冲胶缺失</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rPr>
            </w:pPr>
            <w:r>
              <w:rPr>
                <w:rFonts w:hint="eastAsia" w:ascii="宋体" w:hAnsi="宋体"/>
                <w:color w:val="auto"/>
              </w:rPr>
              <w:t>对动臂变幅塔机，应设置臂架低位置和臂架高位置的幅度限位开关，且动作准确、可靠。</w:t>
            </w:r>
          </w:p>
        </w:tc>
        <w:tc>
          <w:tcPr>
            <w:tcW w:w="1200" w:type="dxa"/>
            <w:noWrap w:val="0"/>
            <w:vAlign w:val="center"/>
          </w:tcPr>
          <w:p>
            <w:pPr>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行程限位失效</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rPr>
            </w:pPr>
            <w:r>
              <w:rPr>
                <w:rFonts w:hint="eastAsia" w:ascii="宋体" w:hAnsi="宋体"/>
                <w:color w:val="auto"/>
              </w:rPr>
              <w:t>对动臂变幅塔机，应设置臂架极限位置的限制装置，该装置应有效、可靠。</w:t>
            </w:r>
          </w:p>
        </w:tc>
        <w:tc>
          <w:tcPr>
            <w:tcW w:w="1200" w:type="dxa"/>
            <w:noWrap w:val="0"/>
            <w:vAlign w:val="center"/>
          </w:tcPr>
          <w:p>
            <w:pPr>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restart"/>
            <w:noWrap w:val="0"/>
            <w:vAlign w:val="center"/>
          </w:tcPr>
          <w:p>
            <w:pPr>
              <w:jc w:val="center"/>
              <w:rPr>
                <w:rFonts w:hint="eastAsia" w:ascii="宋体" w:hAnsi="宋体"/>
                <w:color w:val="auto"/>
              </w:rPr>
            </w:pPr>
            <w:r>
              <w:rPr>
                <w:rFonts w:hint="eastAsia" w:ascii="宋体" w:hAnsi="宋体"/>
                <w:color w:val="auto"/>
              </w:rPr>
              <w:t>91</w:t>
            </w:r>
          </w:p>
        </w:tc>
        <w:tc>
          <w:tcPr>
            <w:tcW w:w="678" w:type="dxa"/>
            <w:vMerge w:val="continue"/>
            <w:noWrap w:val="0"/>
            <w:vAlign w:val="center"/>
          </w:tcPr>
          <w:p>
            <w:pPr>
              <w:jc w:val="center"/>
              <w:rPr>
                <w:rFonts w:hint="eastAsia" w:ascii="宋体" w:hAnsi="宋体"/>
                <w:color w:val="auto"/>
              </w:rPr>
            </w:pPr>
          </w:p>
        </w:tc>
        <w:tc>
          <w:tcPr>
            <w:tcW w:w="915" w:type="dxa"/>
            <w:vMerge w:val="restart"/>
            <w:noWrap w:val="0"/>
            <w:vAlign w:val="center"/>
          </w:tcPr>
          <w:p>
            <w:pPr>
              <w:jc w:val="center"/>
              <w:rPr>
                <w:rFonts w:hint="eastAsia" w:ascii="宋体" w:hAnsi="宋体"/>
                <w:color w:val="auto"/>
              </w:rPr>
            </w:pPr>
            <w:r>
              <w:rPr>
                <w:rFonts w:hint="eastAsia" w:ascii="宋体" w:hAnsi="宋体"/>
                <w:color w:val="auto"/>
              </w:rPr>
              <w:t>3.0.6</w:t>
            </w:r>
          </w:p>
          <w:p>
            <w:pPr>
              <w:jc w:val="center"/>
              <w:rPr>
                <w:rFonts w:hint="eastAsia" w:ascii="宋体" w:hAnsi="宋体"/>
                <w:color w:val="auto"/>
              </w:rPr>
            </w:pPr>
            <w:r>
              <w:rPr>
                <w:rFonts w:hint="eastAsia" w:ascii="宋体" w:hAnsi="宋体"/>
                <w:color w:val="auto"/>
              </w:rPr>
              <w:t>回转限位器</w:t>
            </w:r>
          </w:p>
        </w:tc>
        <w:tc>
          <w:tcPr>
            <w:tcW w:w="3525" w:type="dxa"/>
            <w:gridSpan w:val="4"/>
            <w:noWrap w:val="0"/>
            <w:vAlign w:val="center"/>
          </w:tcPr>
          <w:p>
            <w:pPr>
              <w:spacing w:line="280" w:lineRule="exact"/>
              <w:rPr>
                <w:rFonts w:hint="eastAsia" w:ascii="宋体" w:hAnsi="宋体"/>
                <w:color w:val="auto"/>
              </w:rPr>
            </w:pPr>
            <w:r>
              <w:rPr>
                <w:rFonts w:hint="eastAsia" w:ascii="宋体" w:hAnsi="宋体"/>
                <w:color w:val="auto"/>
              </w:rPr>
              <w:t>对回转部分不设集电器或有特殊使用需要的塔机，应安装回转限位器。正反两个方向均应设置回转限位开关，开关动作时臂架旋转角度应不大于±540º。</w:t>
            </w:r>
          </w:p>
        </w:tc>
        <w:tc>
          <w:tcPr>
            <w:tcW w:w="1200" w:type="dxa"/>
            <w:noWrap w:val="0"/>
            <w:vAlign w:val="center"/>
          </w:tcPr>
          <w:p>
            <w:pPr>
              <w:jc w:val="center"/>
              <w:rPr>
                <w:rFonts w:hint="eastAsia" w:ascii="宋体" w:hAnsi="宋体"/>
                <w:color w:val="auto"/>
              </w:rPr>
            </w:pPr>
          </w:p>
        </w:tc>
        <w:tc>
          <w:tcPr>
            <w:tcW w:w="1095" w:type="dxa"/>
            <w:vMerge w:val="restart"/>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rPr>
            </w:pPr>
            <w:r>
              <w:rPr>
                <w:rFonts w:hint="eastAsia" w:ascii="宋体" w:hAnsi="宋体"/>
                <w:color w:val="auto"/>
              </w:rPr>
              <w:t>塔机的回转部分在非工作状态下应能自由旋转。</w:t>
            </w:r>
          </w:p>
        </w:tc>
        <w:tc>
          <w:tcPr>
            <w:tcW w:w="1200" w:type="dxa"/>
            <w:noWrap w:val="0"/>
            <w:vAlign w:val="center"/>
          </w:tcPr>
          <w:p>
            <w:pPr>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rPr>
            </w:pPr>
            <w:r>
              <w:rPr>
                <w:rFonts w:hint="eastAsia" w:ascii="宋体" w:hAnsi="宋体"/>
                <w:color w:val="auto"/>
                <w:spacing w:val="-6"/>
                <w:szCs w:val="21"/>
              </w:rPr>
              <w:t>对有自锁作用的回转机构，应安装安全极限力矩联轴器。</w:t>
            </w:r>
          </w:p>
        </w:tc>
        <w:tc>
          <w:tcPr>
            <w:tcW w:w="1200" w:type="dxa"/>
            <w:noWrap w:val="0"/>
            <w:vAlign w:val="center"/>
          </w:tcPr>
          <w:p>
            <w:pPr>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w:t>
            </w:r>
          </w:p>
          <w:p>
            <w:pPr>
              <w:jc w:val="center"/>
              <w:rPr>
                <w:rFonts w:hint="eastAsia" w:ascii="宋体" w:hAnsi="宋体"/>
                <w:color w:val="auto"/>
              </w:rPr>
            </w:pPr>
            <w:r>
              <w:rPr>
                <w:rFonts w:hint="eastAsia" w:ascii="宋体" w:hAnsi="宋体"/>
                <w:color w:val="auto"/>
              </w:rPr>
              <w:t>92</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3.0.7</w:t>
            </w:r>
          </w:p>
          <w:p>
            <w:pPr>
              <w:jc w:val="center"/>
              <w:rPr>
                <w:rFonts w:hint="eastAsia" w:ascii="宋体" w:hAnsi="宋体"/>
                <w:color w:val="auto"/>
              </w:rPr>
            </w:pPr>
            <w:r>
              <w:rPr>
                <w:rFonts w:hint="eastAsia" w:ascii="宋体" w:hAnsi="宋体"/>
                <w:color w:val="auto"/>
              </w:rPr>
              <w:t>行走限位装置</w:t>
            </w:r>
          </w:p>
        </w:tc>
        <w:tc>
          <w:tcPr>
            <w:tcW w:w="3525" w:type="dxa"/>
            <w:gridSpan w:val="4"/>
            <w:noWrap w:val="0"/>
            <w:vAlign w:val="center"/>
          </w:tcPr>
          <w:p>
            <w:pPr>
              <w:spacing w:line="280" w:lineRule="exact"/>
              <w:rPr>
                <w:rFonts w:hint="eastAsia" w:ascii="宋体" w:hAnsi="宋体"/>
                <w:color w:val="auto"/>
                <w:spacing w:val="-6"/>
                <w:szCs w:val="21"/>
              </w:rPr>
            </w:pPr>
            <w:r>
              <w:rPr>
                <w:rFonts w:hint="eastAsia" w:ascii="宋体" w:hAnsi="宋体"/>
                <w:color w:val="auto"/>
                <w:spacing w:val="-6"/>
                <w:szCs w:val="21"/>
              </w:rPr>
              <w:t>对于轨道式塔机，每个运行方向应设置行程限位装置，其中包括限位开关、缓冲器和终端止挡。限位开关动作后塔机停车时其端部距缓冲器最小距离为1m，缓冲器距终端止挡最小距离为1m。塔机在与止挡装置或与同一轨道上其他塔机相距大于1m处能完全停住，此时电缆还有足够的富余长度。</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★93</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spacing w:line="280" w:lineRule="exact"/>
              <w:jc w:val="center"/>
              <w:rPr>
                <w:rFonts w:hint="eastAsia" w:ascii="宋体" w:hAnsi="宋体"/>
                <w:color w:val="auto"/>
              </w:rPr>
            </w:pPr>
            <w:r>
              <w:rPr>
                <w:rFonts w:hint="eastAsia" w:ascii="宋体" w:hAnsi="宋体"/>
                <w:color w:val="auto"/>
              </w:rPr>
              <w:t>3.0.8</w:t>
            </w:r>
          </w:p>
          <w:p>
            <w:pPr>
              <w:spacing w:line="280" w:lineRule="exact"/>
              <w:jc w:val="center"/>
              <w:rPr>
                <w:rFonts w:hint="eastAsia" w:ascii="宋体" w:hAnsi="宋体"/>
                <w:color w:val="auto"/>
                <w:spacing w:val="-20"/>
                <w:szCs w:val="21"/>
              </w:rPr>
            </w:pPr>
            <w:r>
              <w:rPr>
                <w:rFonts w:hint="eastAsia" w:ascii="宋体" w:hAnsi="宋体"/>
                <w:color w:val="auto"/>
                <w:spacing w:val="-20"/>
                <w:szCs w:val="21"/>
              </w:rPr>
              <w:t>小车断绳保护装置</w:t>
            </w:r>
          </w:p>
        </w:tc>
        <w:tc>
          <w:tcPr>
            <w:tcW w:w="3525" w:type="dxa"/>
            <w:gridSpan w:val="4"/>
            <w:noWrap w:val="0"/>
            <w:vAlign w:val="center"/>
          </w:tcPr>
          <w:p>
            <w:pPr>
              <w:rPr>
                <w:rFonts w:hint="eastAsia" w:ascii="宋体" w:hAnsi="宋体"/>
                <w:color w:val="auto"/>
                <w:spacing w:val="-6"/>
                <w:szCs w:val="21"/>
              </w:rPr>
            </w:pPr>
            <w:r>
              <w:rPr>
                <w:rFonts w:hint="eastAsia" w:ascii="宋体" w:hAnsi="宋体"/>
                <w:color w:val="auto"/>
                <w:spacing w:val="-6"/>
                <w:szCs w:val="21"/>
              </w:rPr>
              <w:t>小车变幅的塔机，变幅的双向均应设置小车断绳保护装置，且动作有效、可靠。</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断绳保护装置失效</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★94</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spacing w:line="280" w:lineRule="exact"/>
              <w:jc w:val="center"/>
              <w:rPr>
                <w:rFonts w:hint="eastAsia" w:ascii="宋体" w:hAnsi="宋体"/>
                <w:color w:val="auto"/>
              </w:rPr>
            </w:pPr>
            <w:r>
              <w:rPr>
                <w:rFonts w:hint="eastAsia" w:ascii="宋体" w:hAnsi="宋体"/>
                <w:color w:val="auto"/>
              </w:rPr>
              <w:t>3.0.9</w:t>
            </w:r>
          </w:p>
          <w:p>
            <w:pPr>
              <w:spacing w:line="280" w:lineRule="exact"/>
              <w:jc w:val="center"/>
              <w:rPr>
                <w:rFonts w:hint="eastAsia" w:ascii="宋体" w:hAnsi="宋体"/>
                <w:color w:val="auto"/>
              </w:rPr>
            </w:pPr>
            <w:r>
              <w:rPr>
                <w:rFonts w:hint="eastAsia" w:ascii="宋体" w:hAnsi="宋体"/>
                <w:color w:val="auto"/>
              </w:rPr>
              <w:t>小车防</w:t>
            </w:r>
            <w:r>
              <w:rPr>
                <w:rFonts w:hint="eastAsia" w:ascii="宋体" w:hAnsi="宋体"/>
                <w:color w:val="auto"/>
                <w:spacing w:val="-20"/>
                <w:szCs w:val="21"/>
              </w:rPr>
              <w:t>坠落装置</w:t>
            </w:r>
          </w:p>
        </w:tc>
        <w:tc>
          <w:tcPr>
            <w:tcW w:w="3525" w:type="dxa"/>
            <w:gridSpan w:val="4"/>
            <w:noWrap w:val="0"/>
            <w:vAlign w:val="center"/>
          </w:tcPr>
          <w:p>
            <w:pPr>
              <w:rPr>
                <w:rFonts w:hint="eastAsia" w:ascii="宋体" w:hAnsi="宋体"/>
                <w:color w:val="auto"/>
                <w:spacing w:val="-6"/>
                <w:szCs w:val="21"/>
              </w:rPr>
            </w:pPr>
            <w:r>
              <w:rPr>
                <w:rFonts w:hint="eastAsia" w:ascii="宋体" w:hAnsi="宋体"/>
                <w:color w:val="auto"/>
                <w:spacing w:val="-6"/>
                <w:szCs w:val="21"/>
              </w:rPr>
              <w:t>小车变幅的塔机，应设置小车防坠落装置。即使车轮失效，小车也不得脱离臂架坠落。</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防坠落装置失效</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★95</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3.0.10</w:t>
            </w:r>
          </w:p>
          <w:p>
            <w:pPr>
              <w:jc w:val="center"/>
              <w:rPr>
                <w:rFonts w:hint="eastAsia" w:ascii="宋体" w:hAnsi="宋体"/>
                <w:color w:val="auto"/>
              </w:rPr>
            </w:pPr>
            <w:r>
              <w:rPr>
                <w:rFonts w:hint="eastAsia" w:ascii="宋体" w:hAnsi="宋体"/>
                <w:color w:val="auto"/>
              </w:rPr>
              <w:t>夹轨器</w:t>
            </w:r>
          </w:p>
        </w:tc>
        <w:tc>
          <w:tcPr>
            <w:tcW w:w="3525" w:type="dxa"/>
            <w:gridSpan w:val="4"/>
            <w:noWrap w:val="0"/>
            <w:vAlign w:val="center"/>
          </w:tcPr>
          <w:p>
            <w:pPr>
              <w:rPr>
                <w:rFonts w:hint="eastAsia" w:ascii="宋体" w:hAnsi="宋体"/>
                <w:color w:val="auto"/>
              </w:rPr>
            </w:pPr>
            <w:r>
              <w:rPr>
                <w:rFonts w:hint="eastAsia" w:ascii="宋体" w:hAnsi="宋体"/>
                <w:color w:val="auto"/>
                <w:spacing w:val="-6"/>
                <w:szCs w:val="21"/>
              </w:rPr>
              <w:t>轨道式塔机必须安装夹轨器，其零件应无缺损，且工作有效、可靠。</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ascii="宋体" w:hAnsi="宋体"/>
                <w:color w:val="auto"/>
              </w:rPr>
            </w:pPr>
            <w:r>
              <w:rPr>
                <w:rFonts w:hint="eastAsia" w:ascii="宋体" w:hAnsi="宋体"/>
                <w:color w:val="auto"/>
              </w:rPr>
              <w:t>无夹轨器</w:t>
            </w:r>
          </w:p>
        </w:tc>
        <w:tc>
          <w:tcPr>
            <w:tcW w:w="1290" w:type="dxa"/>
            <w:noWrap w:val="0"/>
            <w:vAlign w:val="center"/>
          </w:tcPr>
          <w:p>
            <w:pPr>
              <w:jc w:val="center"/>
              <w:rPr>
                <w:rFonts w:hint="eastAsia" w:ascii="宋体" w:hAnsi="宋体"/>
                <w:color w:val="auto"/>
              </w:rPr>
            </w:pP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right"/>
        </w:trPr>
        <w:tc>
          <w:tcPr>
            <w:tcW w:w="534" w:type="dxa"/>
            <w:noWrap w:val="0"/>
            <w:vAlign w:val="center"/>
          </w:tcPr>
          <w:p>
            <w:pPr>
              <w:jc w:val="center"/>
              <w:rPr>
                <w:rFonts w:hint="eastAsia" w:ascii="宋体" w:hAnsi="宋体"/>
                <w:color w:val="auto"/>
              </w:rPr>
            </w:pPr>
            <w:r>
              <w:rPr>
                <w:rFonts w:hint="eastAsia" w:ascii="宋体" w:hAnsi="宋体"/>
                <w:color w:val="auto"/>
              </w:rPr>
              <w:t>96</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3.0.11</w:t>
            </w:r>
          </w:p>
          <w:p>
            <w:pPr>
              <w:jc w:val="center"/>
              <w:rPr>
                <w:rFonts w:hint="eastAsia" w:ascii="宋体" w:hAnsi="宋体"/>
                <w:color w:val="auto"/>
              </w:rPr>
            </w:pPr>
            <w:r>
              <w:rPr>
                <w:rFonts w:hint="eastAsia" w:ascii="宋体" w:hAnsi="宋体"/>
                <w:color w:val="auto"/>
              </w:rPr>
              <w:t>清轨板</w:t>
            </w:r>
          </w:p>
        </w:tc>
        <w:tc>
          <w:tcPr>
            <w:tcW w:w="3525" w:type="dxa"/>
            <w:gridSpan w:val="4"/>
            <w:noWrap w:val="0"/>
            <w:vAlign w:val="center"/>
          </w:tcPr>
          <w:p>
            <w:pPr>
              <w:rPr>
                <w:rFonts w:hint="eastAsia" w:ascii="宋体" w:hAnsi="宋体"/>
                <w:color w:val="auto"/>
              </w:rPr>
            </w:pPr>
            <w:r>
              <w:rPr>
                <w:rFonts w:hint="eastAsia" w:ascii="宋体" w:hAnsi="宋体"/>
                <w:color w:val="auto"/>
              </w:rPr>
              <w:t>轨道式塔机的台车架上应安装排障清轨板，清轨板与轨道顶面之间的间隙不应大于</w:t>
            </w:r>
            <w:r>
              <w:rPr>
                <w:rFonts w:ascii="宋体" w:hAnsi="宋体"/>
                <w:color w:val="auto"/>
              </w:rPr>
              <w:t>5mm</w:t>
            </w:r>
            <w:r>
              <w:rPr>
                <w:rFonts w:hint="eastAsia" w:ascii="宋体" w:hAnsi="宋体"/>
                <w:color w:val="auto"/>
              </w:rPr>
              <w:t>。</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97</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3.0.12</w:t>
            </w:r>
          </w:p>
          <w:p>
            <w:pPr>
              <w:jc w:val="center"/>
              <w:rPr>
                <w:rFonts w:hint="eastAsia" w:ascii="宋体" w:hAnsi="宋体"/>
                <w:color w:val="auto"/>
              </w:rPr>
            </w:pPr>
            <w:r>
              <w:rPr>
                <w:rFonts w:hint="eastAsia" w:ascii="宋体" w:hAnsi="宋体"/>
                <w:color w:val="auto"/>
              </w:rPr>
              <w:t>防护罩</w:t>
            </w:r>
          </w:p>
        </w:tc>
        <w:tc>
          <w:tcPr>
            <w:tcW w:w="3525" w:type="dxa"/>
            <w:gridSpan w:val="4"/>
            <w:noWrap w:val="0"/>
            <w:vAlign w:val="center"/>
          </w:tcPr>
          <w:p>
            <w:pPr>
              <w:rPr>
                <w:rFonts w:hint="eastAsia" w:ascii="宋体" w:hAnsi="宋体"/>
                <w:color w:val="auto"/>
              </w:rPr>
            </w:pPr>
            <w:r>
              <w:rPr>
                <w:rFonts w:hint="eastAsia" w:ascii="宋体" w:hAnsi="宋体"/>
                <w:color w:val="auto"/>
              </w:rPr>
              <w:t>塔机在正常工作或维修时，其运动对人体可能造成危险的零部件，应设有防护罩。</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noWrap w:val="0"/>
            <w:vAlign w:val="center"/>
          </w:tcPr>
          <w:p>
            <w:pPr>
              <w:jc w:val="center"/>
              <w:rPr>
                <w:rFonts w:hint="eastAsia" w:ascii="宋体" w:hAnsi="宋体"/>
                <w:color w:val="auto"/>
              </w:rPr>
            </w:pPr>
            <w:r>
              <w:rPr>
                <w:rFonts w:hint="eastAsia" w:ascii="宋体" w:hAnsi="宋体"/>
                <w:color w:val="auto"/>
              </w:rPr>
              <w:t>98</w:t>
            </w:r>
          </w:p>
        </w:tc>
        <w:tc>
          <w:tcPr>
            <w:tcW w:w="678" w:type="dxa"/>
            <w:vMerge w:val="continue"/>
            <w:noWrap w:val="0"/>
            <w:vAlign w:val="center"/>
          </w:tcPr>
          <w:p>
            <w:pPr>
              <w:jc w:val="center"/>
              <w:rPr>
                <w:rFonts w:hint="eastAsia" w:ascii="宋体" w:hAnsi="宋体"/>
                <w:color w:val="auto"/>
              </w:rPr>
            </w:pPr>
          </w:p>
        </w:tc>
        <w:tc>
          <w:tcPr>
            <w:tcW w:w="915" w:type="dxa"/>
            <w:noWrap w:val="0"/>
            <w:vAlign w:val="center"/>
          </w:tcPr>
          <w:p>
            <w:pPr>
              <w:jc w:val="center"/>
              <w:rPr>
                <w:rFonts w:hint="eastAsia" w:ascii="宋体" w:hAnsi="宋体"/>
                <w:color w:val="auto"/>
              </w:rPr>
            </w:pPr>
            <w:r>
              <w:rPr>
                <w:rFonts w:hint="eastAsia" w:ascii="宋体" w:hAnsi="宋体"/>
                <w:color w:val="auto"/>
              </w:rPr>
              <w:t>3.0.13</w:t>
            </w:r>
          </w:p>
          <w:p>
            <w:pPr>
              <w:jc w:val="center"/>
              <w:rPr>
                <w:rFonts w:hint="eastAsia" w:ascii="宋体" w:hAnsi="宋体"/>
                <w:color w:val="auto"/>
              </w:rPr>
            </w:pPr>
            <w:r>
              <w:rPr>
                <w:rFonts w:hint="eastAsia" w:ascii="宋体" w:hAnsi="宋体"/>
                <w:color w:val="auto"/>
              </w:rPr>
              <w:t>风速仪</w:t>
            </w:r>
          </w:p>
        </w:tc>
        <w:tc>
          <w:tcPr>
            <w:tcW w:w="3525" w:type="dxa"/>
            <w:gridSpan w:val="4"/>
            <w:noWrap w:val="0"/>
            <w:vAlign w:val="center"/>
          </w:tcPr>
          <w:p>
            <w:pPr>
              <w:spacing w:line="280" w:lineRule="exact"/>
              <w:rPr>
                <w:rFonts w:hint="eastAsia" w:ascii="宋体" w:hAnsi="宋体"/>
                <w:color w:val="auto"/>
              </w:rPr>
            </w:pPr>
            <w:r>
              <w:rPr>
                <w:rFonts w:hint="eastAsia" w:ascii="宋体" w:hAnsi="宋体"/>
                <w:color w:val="auto"/>
              </w:rPr>
              <w:t>臂架根部铰点高度大于</w:t>
            </w:r>
            <w:r>
              <w:rPr>
                <w:rFonts w:ascii="宋体" w:hAnsi="宋体"/>
                <w:color w:val="auto"/>
              </w:rPr>
              <w:t>50m</w:t>
            </w:r>
            <w:r>
              <w:rPr>
                <w:rFonts w:hint="eastAsia" w:ascii="宋体" w:hAnsi="宋体"/>
                <w:color w:val="auto"/>
              </w:rPr>
              <w:t>的塔机应配备风速仪。风速仪应安装在塔机顶部的不挡风处。当风速大于工作极限风速时，应能发出停止作业的警报。</w:t>
            </w:r>
          </w:p>
        </w:tc>
        <w:tc>
          <w:tcPr>
            <w:tcW w:w="1200" w:type="dxa"/>
            <w:noWrap w:val="0"/>
            <w:vAlign w:val="center"/>
          </w:tcPr>
          <w:p>
            <w:pPr>
              <w:jc w:val="center"/>
              <w:rPr>
                <w:rFonts w:hint="eastAsia" w:ascii="宋体" w:hAnsi="宋体"/>
                <w:color w:val="auto"/>
              </w:rPr>
            </w:pPr>
          </w:p>
        </w:tc>
        <w:tc>
          <w:tcPr>
            <w:tcW w:w="1095" w:type="dxa"/>
            <w:noWrap w:val="0"/>
            <w:vAlign w:val="center"/>
          </w:tcPr>
          <w:p>
            <w:pPr>
              <w:jc w:val="center"/>
              <w:rPr>
                <w:rFonts w:hint="eastAsia" w:ascii="宋体" w:hAnsi="宋体"/>
                <w:color w:val="auto"/>
              </w:rPr>
            </w:pPr>
          </w:p>
        </w:tc>
        <w:tc>
          <w:tcPr>
            <w:tcW w:w="1290" w:type="dxa"/>
            <w:noWrap w:val="0"/>
            <w:vAlign w:val="center"/>
          </w:tcPr>
          <w:p>
            <w:pPr>
              <w:jc w:val="center"/>
              <w:rPr>
                <w:rFonts w:hint="eastAsia" w:ascii="宋体" w:hAnsi="宋体"/>
                <w:color w:val="auto"/>
              </w:rPr>
            </w:pPr>
            <w:r>
              <w:rPr>
                <w:rFonts w:hint="eastAsia" w:ascii="宋体" w:hAnsi="宋体"/>
                <w:color w:val="auto"/>
              </w:rPr>
              <w:t>√</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restart"/>
            <w:noWrap w:val="0"/>
            <w:vAlign w:val="center"/>
          </w:tcPr>
          <w:p>
            <w:pPr>
              <w:jc w:val="center"/>
              <w:rPr>
                <w:rFonts w:hint="eastAsia" w:ascii="宋体" w:hAnsi="宋体"/>
                <w:color w:val="auto"/>
              </w:rPr>
            </w:pPr>
            <w:r>
              <w:rPr>
                <w:rFonts w:hint="eastAsia" w:ascii="宋体" w:hAnsi="宋体"/>
                <w:color w:val="auto"/>
              </w:rPr>
              <w:t>★99</w:t>
            </w:r>
          </w:p>
        </w:tc>
        <w:tc>
          <w:tcPr>
            <w:tcW w:w="678" w:type="dxa"/>
            <w:vMerge w:val="restart"/>
            <w:noWrap w:val="0"/>
            <w:vAlign w:val="center"/>
          </w:tcPr>
          <w:p>
            <w:pPr>
              <w:jc w:val="center"/>
              <w:rPr>
                <w:rFonts w:hint="eastAsia" w:ascii="宋体" w:hAnsi="宋体"/>
                <w:color w:val="auto"/>
              </w:rPr>
            </w:pPr>
            <w:r>
              <w:rPr>
                <w:rFonts w:hint="eastAsia" w:ascii="宋体" w:hAnsi="宋体"/>
                <w:color w:val="auto"/>
              </w:rPr>
              <w:t>4.</w:t>
            </w:r>
          </w:p>
          <w:p>
            <w:pPr>
              <w:jc w:val="center"/>
              <w:rPr>
                <w:rFonts w:hint="eastAsia" w:ascii="宋体" w:hAnsi="宋体"/>
                <w:color w:val="auto"/>
              </w:rPr>
            </w:pPr>
            <w:r>
              <w:rPr>
                <w:rFonts w:hint="eastAsia" w:ascii="宋体" w:hAnsi="宋体"/>
                <w:color w:val="auto"/>
              </w:rPr>
              <w:t>整机性能</w:t>
            </w:r>
          </w:p>
        </w:tc>
        <w:tc>
          <w:tcPr>
            <w:tcW w:w="915" w:type="dxa"/>
            <w:vMerge w:val="restart"/>
            <w:noWrap w:val="0"/>
            <w:vAlign w:val="center"/>
          </w:tcPr>
          <w:p>
            <w:pPr>
              <w:jc w:val="center"/>
              <w:rPr>
                <w:rFonts w:hint="eastAsia" w:ascii="宋体" w:hAnsi="宋体"/>
                <w:color w:val="auto"/>
                <w:spacing w:val="-20"/>
                <w:szCs w:val="21"/>
              </w:rPr>
            </w:pPr>
            <w:r>
              <w:rPr>
                <w:rFonts w:hint="eastAsia" w:ascii="宋体" w:hAnsi="宋体"/>
                <w:color w:val="auto"/>
                <w:spacing w:val="-20"/>
                <w:szCs w:val="21"/>
              </w:rPr>
              <w:t>4.0.1</w:t>
            </w:r>
          </w:p>
          <w:p>
            <w:pPr>
              <w:jc w:val="center"/>
              <w:rPr>
                <w:rFonts w:hint="eastAsia" w:ascii="宋体" w:hAnsi="宋体"/>
                <w:color w:val="auto"/>
                <w:spacing w:val="-20"/>
                <w:szCs w:val="21"/>
              </w:rPr>
            </w:pPr>
            <w:r>
              <w:rPr>
                <w:rFonts w:hint="eastAsia" w:ascii="宋体" w:hAnsi="宋体"/>
                <w:color w:val="auto"/>
                <w:spacing w:val="-20"/>
                <w:szCs w:val="21"/>
              </w:rPr>
              <w:t>空载试验</w:t>
            </w:r>
          </w:p>
        </w:tc>
        <w:tc>
          <w:tcPr>
            <w:tcW w:w="3525" w:type="dxa"/>
            <w:gridSpan w:val="4"/>
            <w:noWrap w:val="0"/>
            <w:vAlign w:val="center"/>
          </w:tcPr>
          <w:p>
            <w:pPr>
              <w:jc w:val="left"/>
              <w:rPr>
                <w:rFonts w:hint="eastAsia" w:ascii="宋体" w:hAnsi="宋体"/>
                <w:color w:val="auto"/>
              </w:rPr>
            </w:pPr>
            <w:r>
              <w:rPr>
                <w:rFonts w:hint="eastAsia" w:ascii="宋体" w:hAnsi="宋体"/>
                <w:color w:val="auto"/>
              </w:rPr>
              <w:t>操作系统、控制系统和联锁装置应动作准确、灵活；</w:t>
            </w:r>
          </w:p>
        </w:tc>
        <w:tc>
          <w:tcPr>
            <w:tcW w:w="1200" w:type="dxa"/>
            <w:vMerge w:val="restart"/>
            <w:noWrap w:val="0"/>
            <w:vAlign w:val="center"/>
          </w:tcPr>
          <w:p>
            <w:pPr>
              <w:jc w:val="center"/>
              <w:rPr>
                <w:rFonts w:ascii="宋体" w:hAnsi="宋体"/>
                <w:color w:val="auto"/>
              </w:rPr>
            </w:pPr>
          </w:p>
        </w:tc>
        <w:tc>
          <w:tcPr>
            <w:tcW w:w="1095" w:type="dxa"/>
            <w:vMerge w:val="restart"/>
            <w:noWrap w:val="0"/>
            <w:vAlign w:val="center"/>
          </w:tcPr>
          <w:p>
            <w:pPr>
              <w:jc w:val="center"/>
              <w:rPr>
                <w:rFonts w:hint="eastAsia" w:ascii="宋体" w:hAnsi="宋体"/>
                <w:color w:val="auto"/>
              </w:rPr>
            </w:pPr>
          </w:p>
        </w:tc>
        <w:tc>
          <w:tcPr>
            <w:tcW w:w="1290" w:type="dxa"/>
            <w:vMerge w:val="restart"/>
            <w:noWrap w:val="0"/>
            <w:vAlign w:val="center"/>
          </w:tcPr>
          <w:p>
            <w:pPr>
              <w:jc w:val="center"/>
              <w:rPr>
                <w:rFonts w:hint="eastAsia" w:ascii="宋体" w:hAnsi="宋体"/>
                <w:color w:val="auto"/>
              </w:rPr>
            </w:pPr>
            <w:r>
              <w:rPr>
                <w:rFonts w:hint="eastAsia" w:ascii="宋体" w:hAnsi="宋体"/>
                <w:color w:val="auto"/>
              </w:rPr>
              <w:t>空载运行异常，可以整改</w:t>
            </w:r>
          </w:p>
          <w:p>
            <w:pPr>
              <w:jc w:val="center"/>
              <w:rPr>
                <w:rFonts w:hint="eastAsia" w:ascii="宋体" w:hAnsi="宋体"/>
                <w:color w:val="auto"/>
              </w:rPr>
            </w:pP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spacing w:val="-20"/>
                <w:szCs w:val="21"/>
              </w:rPr>
            </w:pPr>
          </w:p>
        </w:tc>
        <w:tc>
          <w:tcPr>
            <w:tcW w:w="3525" w:type="dxa"/>
            <w:gridSpan w:val="4"/>
            <w:noWrap w:val="0"/>
            <w:vAlign w:val="center"/>
          </w:tcPr>
          <w:p>
            <w:pPr>
              <w:jc w:val="left"/>
              <w:rPr>
                <w:rFonts w:hint="eastAsia" w:ascii="宋体" w:hAnsi="宋体"/>
                <w:color w:val="auto"/>
              </w:rPr>
            </w:pPr>
            <w:r>
              <w:rPr>
                <w:rFonts w:hint="eastAsia" w:ascii="宋体" w:hAnsi="宋体"/>
                <w:color w:val="auto"/>
              </w:rPr>
              <w:t>各安全装置应动作灵敏、可靠；</w:t>
            </w:r>
          </w:p>
        </w:tc>
        <w:tc>
          <w:tcPr>
            <w:tcW w:w="1200" w:type="dxa"/>
            <w:vMerge w:val="continue"/>
            <w:noWrap w:val="0"/>
            <w:vAlign w:val="center"/>
          </w:tcPr>
          <w:p>
            <w:pPr>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vMerge w:val="continue"/>
            <w:noWrap w:val="0"/>
            <w:vAlign w:val="center"/>
          </w:tcPr>
          <w:p>
            <w:pPr>
              <w:jc w:val="center"/>
              <w:rPr>
                <w:rFonts w:hint="eastAsia" w:ascii="宋体" w:hAnsi="宋体"/>
                <w:color w:val="auto"/>
              </w:rPr>
            </w:pP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ind w:firstLine="340"/>
              <w:jc w:val="center"/>
              <w:rPr>
                <w:rFonts w:hint="eastAsia" w:ascii="宋体" w:hAnsi="宋体"/>
                <w:color w:val="auto"/>
                <w:spacing w:val="-20"/>
                <w:szCs w:val="21"/>
              </w:rPr>
            </w:pPr>
          </w:p>
        </w:tc>
        <w:tc>
          <w:tcPr>
            <w:tcW w:w="3525" w:type="dxa"/>
            <w:gridSpan w:val="4"/>
            <w:noWrap w:val="0"/>
            <w:vAlign w:val="center"/>
          </w:tcPr>
          <w:p>
            <w:pPr>
              <w:jc w:val="left"/>
              <w:rPr>
                <w:rFonts w:hint="eastAsia" w:ascii="宋体" w:hAnsi="宋体"/>
                <w:color w:val="auto"/>
              </w:rPr>
            </w:pPr>
            <w:r>
              <w:rPr>
                <w:rFonts w:hint="eastAsia" w:ascii="宋体" w:hAnsi="宋体"/>
                <w:color w:val="auto"/>
              </w:rPr>
              <w:t>各机构应运转正常，制动可靠。</w:t>
            </w:r>
          </w:p>
        </w:tc>
        <w:tc>
          <w:tcPr>
            <w:tcW w:w="1200" w:type="dxa"/>
            <w:vMerge w:val="continue"/>
            <w:noWrap w:val="0"/>
            <w:vAlign w:val="center"/>
          </w:tcPr>
          <w:p>
            <w:pPr>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vMerge w:val="continue"/>
            <w:noWrap w:val="0"/>
            <w:vAlign w:val="center"/>
          </w:tcPr>
          <w:p>
            <w:pPr>
              <w:jc w:val="center"/>
              <w:rPr>
                <w:rFonts w:hint="eastAsia" w:ascii="宋体" w:hAnsi="宋体"/>
                <w:color w:val="auto"/>
              </w:rPr>
            </w:pP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restart"/>
            <w:noWrap w:val="0"/>
            <w:vAlign w:val="center"/>
          </w:tcPr>
          <w:p>
            <w:pPr>
              <w:jc w:val="center"/>
              <w:rPr>
                <w:rFonts w:hint="eastAsia" w:ascii="宋体" w:hAnsi="宋体"/>
                <w:color w:val="auto"/>
              </w:rPr>
            </w:pPr>
            <w:r>
              <w:rPr>
                <w:rFonts w:hint="eastAsia" w:ascii="宋体" w:hAnsi="宋体"/>
                <w:color w:val="auto"/>
              </w:rPr>
              <w:t>★100</w:t>
            </w:r>
          </w:p>
        </w:tc>
        <w:tc>
          <w:tcPr>
            <w:tcW w:w="678" w:type="dxa"/>
            <w:vMerge w:val="continue"/>
            <w:noWrap w:val="0"/>
            <w:vAlign w:val="center"/>
          </w:tcPr>
          <w:p>
            <w:pPr>
              <w:jc w:val="center"/>
              <w:rPr>
                <w:rFonts w:hint="eastAsia" w:ascii="宋体" w:hAnsi="宋体"/>
                <w:color w:val="auto"/>
              </w:rPr>
            </w:pPr>
          </w:p>
        </w:tc>
        <w:tc>
          <w:tcPr>
            <w:tcW w:w="915" w:type="dxa"/>
            <w:vMerge w:val="restart"/>
            <w:noWrap w:val="0"/>
            <w:vAlign w:val="center"/>
          </w:tcPr>
          <w:p>
            <w:pPr>
              <w:jc w:val="center"/>
              <w:rPr>
                <w:rFonts w:hint="eastAsia" w:ascii="宋体" w:hAnsi="宋体"/>
                <w:color w:val="auto"/>
              </w:rPr>
            </w:pPr>
            <w:r>
              <w:rPr>
                <w:rFonts w:hint="eastAsia" w:ascii="宋体" w:hAnsi="宋体"/>
                <w:color w:val="auto"/>
              </w:rPr>
              <w:t>4.0.2</w:t>
            </w:r>
          </w:p>
          <w:p>
            <w:pPr>
              <w:jc w:val="center"/>
              <w:rPr>
                <w:rFonts w:hint="eastAsia" w:ascii="宋体" w:hAnsi="宋体"/>
                <w:color w:val="auto"/>
              </w:rPr>
            </w:pPr>
            <w:r>
              <w:rPr>
                <w:rFonts w:hint="eastAsia" w:ascii="宋体" w:hAnsi="宋体"/>
                <w:color w:val="auto"/>
              </w:rPr>
              <w:t>额定载荷试验</w:t>
            </w:r>
          </w:p>
        </w:tc>
        <w:tc>
          <w:tcPr>
            <w:tcW w:w="3525" w:type="dxa"/>
            <w:gridSpan w:val="4"/>
            <w:noWrap w:val="0"/>
            <w:vAlign w:val="center"/>
          </w:tcPr>
          <w:p>
            <w:pPr>
              <w:rPr>
                <w:rFonts w:hint="eastAsia" w:ascii="宋体" w:hAnsi="宋体"/>
                <w:color w:val="auto"/>
              </w:rPr>
            </w:pPr>
            <w:r>
              <w:rPr>
                <w:rFonts w:hint="eastAsia" w:ascii="宋体" w:hAnsi="宋体"/>
                <w:color w:val="auto"/>
              </w:rPr>
              <w:t>操作系统、控制系统和联锁装置应动作准确、灵活；</w:t>
            </w:r>
          </w:p>
        </w:tc>
        <w:tc>
          <w:tcPr>
            <w:tcW w:w="1200" w:type="dxa"/>
            <w:vMerge w:val="restart"/>
            <w:noWrap w:val="0"/>
            <w:vAlign w:val="center"/>
          </w:tcPr>
          <w:p>
            <w:pPr>
              <w:spacing w:line="280" w:lineRule="exact"/>
              <w:jc w:val="center"/>
              <w:rPr>
                <w:rFonts w:ascii="宋体" w:hAnsi="宋体"/>
                <w:color w:val="auto"/>
              </w:rPr>
            </w:pPr>
          </w:p>
        </w:tc>
        <w:tc>
          <w:tcPr>
            <w:tcW w:w="1095" w:type="dxa"/>
            <w:vMerge w:val="restart"/>
            <w:noWrap w:val="0"/>
            <w:vAlign w:val="center"/>
          </w:tcPr>
          <w:p>
            <w:pPr>
              <w:jc w:val="center"/>
              <w:rPr>
                <w:rFonts w:hint="eastAsia" w:ascii="宋体" w:hAnsi="宋体"/>
                <w:color w:val="auto"/>
              </w:rPr>
            </w:pPr>
          </w:p>
        </w:tc>
        <w:tc>
          <w:tcPr>
            <w:tcW w:w="1290" w:type="dxa"/>
            <w:vMerge w:val="restart"/>
            <w:noWrap w:val="0"/>
            <w:vAlign w:val="center"/>
          </w:tcPr>
          <w:p>
            <w:pPr>
              <w:jc w:val="center"/>
              <w:rPr>
                <w:rFonts w:hint="eastAsia" w:ascii="宋体" w:hAnsi="宋体"/>
                <w:color w:val="auto"/>
              </w:rPr>
            </w:pPr>
            <w:r>
              <w:rPr>
                <w:rFonts w:hint="eastAsia" w:ascii="宋体" w:hAnsi="宋体"/>
                <w:color w:val="auto"/>
              </w:rPr>
              <w:t>额载运行异常，可以整改</w:t>
            </w: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rPr>
            </w:pPr>
            <w:r>
              <w:rPr>
                <w:rFonts w:hint="eastAsia" w:ascii="宋体" w:hAnsi="宋体"/>
                <w:color w:val="auto"/>
              </w:rPr>
              <w:t>各安全装置应动作灵敏、可靠；</w:t>
            </w:r>
          </w:p>
        </w:tc>
        <w:tc>
          <w:tcPr>
            <w:tcW w:w="1200" w:type="dxa"/>
            <w:vMerge w:val="continue"/>
            <w:noWrap w:val="0"/>
            <w:vAlign w:val="center"/>
          </w:tcPr>
          <w:p>
            <w:pPr>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vMerge w:val="continue"/>
            <w:noWrap w:val="0"/>
            <w:vAlign w:val="center"/>
          </w:tcPr>
          <w:p>
            <w:pPr>
              <w:jc w:val="center"/>
              <w:rPr>
                <w:rFonts w:hint="eastAsia" w:ascii="宋体" w:hAnsi="宋体"/>
                <w:color w:val="auto"/>
              </w:rPr>
            </w:pP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spacing w:val="-4"/>
                <w:szCs w:val="21"/>
              </w:rPr>
            </w:pPr>
            <w:r>
              <w:rPr>
                <w:rFonts w:hint="eastAsia" w:ascii="宋体" w:hAnsi="宋体"/>
                <w:color w:val="auto"/>
                <w:spacing w:val="-4"/>
                <w:szCs w:val="21"/>
              </w:rPr>
              <w:t>起升、变幅、回转、行走各机构应运转正常，制动可靠；</w:t>
            </w:r>
          </w:p>
        </w:tc>
        <w:tc>
          <w:tcPr>
            <w:tcW w:w="1200" w:type="dxa"/>
            <w:vMerge w:val="continue"/>
            <w:noWrap w:val="0"/>
            <w:vAlign w:val="center"/>
          </w:tcPr>
          <w:p>
            <w:pPr>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vMerge w:val="continue"/>
            <w:noWrap w:val="0"/>
            <w:vAlign w:val="center"/>
          </w:tcPr>
          <w:p>
            <w:pPr>
              <w:jc w:val="center"/>
              <w:rPr>
                <w:rFonts w:hint="eastAsia" w:ascii="宋体" w:hAnsi="宋体"/>
                <w:color w:val="auto"/>
              </w:rPr>
            </w:pP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rPr>
                <w:rFonts w:hint="eastAsia" w:ascii="宋体" w:hAnsi="宋体"/>
                <w:color w:val="auto"/>
              </w:rPr>
            </w:pPr>
            <w:r>
              <w:rPr>
                <w:rFonts w:hint="eastAsia" w:ascii="宋体" w:hAnsi="宋体"/>
                <w:color w:val="auto"/>
              </w:rPr>
              <w:t>关健零、部件不应有裂纹、连接松动、损坏等缺陷；</w:t>
            </w:r>
          </w:p>
        </w:tc>
        <w:tc>
          <w:tcPr>
            <w:tcW w:w="1200" w:type="dxa"/>
            <w:vMerge w:val="continue"/>
            <w:noWrap w:val="0"/>
            <w:vAlign w:val="center"/>
          </w:tcPr>
          <w:p>
            <w:pPr>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vMerge w:val="continue"/>
            <w:noWrap w:val="0"/>
            <w:vAlign w:val="center"/>
          </w:tcPr>
          <w:p>
            <w:pPr>
              <w:jc w:val="center"/>
              <w:rPr>
                <w:rFonts w:hint="eastAsia" w:ascii="宋体" w:hAnsi="宋体"/>
                <w:color w:val="auto"/>
              </w:rPr>
            </w:pPr>
          </w:p>
        </w:tc>
        <w:tc>
          <w:tcPr>
            <w:tcW w:w="1014"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4" w:type="dxa"/>
            <w:vMerge w:val="continue"/>
            <w:noWrap w:val="0"/>
            <w:vAlign w:val="center"/>
          </w:tcPr>
          <w:p>
            <w:pPr>
              <w:jc w:val="center"/>
              <w:rPr>
                <w:rFonts w:hint="eastAsia" w:ascii="宋体" w:hAnsi="宋体"/>
                <w:color w:val="auto"/>
              </w:rPr>
            </w:pPr>
          </w:p>
        </w:tc>
        <w:tc>
          <w:tcPr>
            <w:tcW w:w="678" w:type="dxa"/>
            <w:vMerge w:val="continue"/>
            <w:noWrap w:val="0"/>
            <w:vAlign w:val="center"/>
          </w:tcPr>
          <w:p>
            <w:pPr>
              <w:jc w:val="center"/>
              <w:rPr>
                <w:rFonts w:hint="eastAsia" w:ascii="宋体" w:hAnsi="宋体"/>
                <w:color w:val="auto"/>
              </w:rPr>
            </w:pPr>
          </w:p>
        </w:tc>
        <w:tc>
          <w:tcPr>
            <w:tcW w:w="915" w:type="dxa"/>
            <w:vMerge w:val="continue"/>
            <w:noWrap w:val="0"/>
            <w:vAlign w:val="center"/>
          </w:tcPr>
          <w:p>
            <w:pPr>
              <w:jc w:val="center"/>
              <w:rPr>
                <w:rFonts w:hint="eastAsia" w:ascii="宋体" w:hAnsi="宋体"/>
                <w:color w:val="auto"/>
              </w:rPr>
            </w:pPr>
          </w:p>
        </w:tc>
        <w:tc>
          <w:tcPr>
            <w:tcW w:w="3525" w:type="dxa"/>
            <w:gridSpan w:val="4"/>
            <w:noWrap w:val="0"/>
            <w:vAlign w:val="center"/>
          </w:tcPr>
          <w:p>
            <w:pPr>
              <w:spacing w:line="280" w:lineRule="exact"/>
              <w:rPr>
                <w:rFonts w:hint="eastAsia" w:ascii="宋体" w:hAnsi="宋体"/>
                <w:color w:val="auto"/>
              </w:rPr>
            </w:pPr>
            <w:r>
              <w:rPr>
                <w:rFonts w:hint="eastAsia" w:ascii="宋体" w:hAnsi="宋体"/>
                <w:color w:val="auto"/>
              </w:rPr>
              <w:t>在额定载荷作用下，塔机臂根铰点的水平静位移应不大于1.34</w:t>
            </w:r>
            <w:r>
              <w:rPr>
                <w:rFonts w:hint="eastAsia" w:ascii="宋体" w:hAnsi="宋体"/>
                <w:b/>
                <w:i/>
                <w:color w:val="auto"/>
              </w:rPr>
              <w:t>H</w:t>
            </w:r>
            <w:r>
              <w:rPr>
                <w:rFonts w:hint="eastAsia" w:ascii="宋体" w:hAnsi="宋体"/>
                <w:color w:val="auto"/>
              </w:rPr>
              <w:t>/100。</w:t>
            </w:r>
          </w:p>
        </w:tc>
        <w:tc>
          <w:tcPr>
            <w:tcW w:w="1200" w:type="dxa"/>
            <w:vMerge w:val="continue"/>
            <w:noWrap w:val="0"/>
            <w:vAlign w:val="center"/>
          </w:tcPr>
          <w:p>
            <w:pPr>
              <w:spacing w:line="280" w:lineRule="exact"/>
              <w:jc w:val="center"/>
              <w:rPr>
                <w:rFonts w:hint="eastAsia" w:ascii="宋体" w:hAnsi="宋体"/>
                <w:color w:val="auto"/>
              </w:rPr>
            </w:pPr>
          </w:p>
        </w:tc>
        <w:tc>
          <w:tcPr>
            <w:tcW w:w="1095" w:type="dxa"/>
            <w:vMerge w:val="continue"/>
            <w:noWrap w:val="0"/>
            <w:vAlign w:val="center"/>
          </w:tcPr>
          <w:p>
            <w:pPr>
              <w:jc w:val="center"/>
              <w:rPr>
                <w:rFonts w:hint="eastAsia" w:ascii="宋体" w:hAnsi="宋体"/>
                <w:color w:val="auto"/>
              </w:rPr>
            </w:pPr>
          </w:p>
        </w:tc>
        <w:tc>
          <w:tcPr>
            <w:tcW w:w="1290" w:type="dxa"/>
            <w:vMerge w:val="continue"/>
            <w:noWrap w:val="0"/>
            <w:vAlign w:val="center"/>
          </w:tcPr>
          <w:p>
            <w:pPr>
              <w:jc w:val="center"/>
              <w:rPr>
                <w:rFonts w:hint="eastAsia" w:ascii="宋体" w:hAnsi="宋体"/>
                <w:color w:val="auto"/>
              </w:rPr>
            </w:pPr>
          </w:p>
        </w:tc>
        <w:tc>
          <w:tcPr>
            <w:tcW w:w="1014" w:type="dxa"/>
            <w:noWrap w:val="0"/>
            <w:vAlign w:val="center"/>
          </w:tcPr>
          <w:p>
            <w:pPr>
              <w:jc w:val="center"/>
              <w:rPr>
                <w:rFonts w:hint="eastAsia" w:ascii="宋体" w:hAnsi="宋体"/>
                <w:color w:val="auto"/>
              </w:rPr>
            </w:pPr>
          </w:p>
        </w:tc>
      </w:tr>
    </w:tbl>
    <w:p>
      <w:pPr>
        <w:rPr>
          <w:rFonts w:hint="default"/>
          <w:color w:val="auto"/>
          <w:lang w:val="en-US" w:eastAsia="zh-CN"/>
        </w:rPr>
      </w:pPr>
    </w:p>
    <w:p>
      <w:pPr>
        <w:rPr>
          <w:rFonts w:hint="eastAsia"/>
          <w:color w:val="auto"/>
          <w:lang w:eastAsia="zh-CN"/>
        </w:rPr>
      </w:pPr>
      <w:r>
        <w:rPr>
          <w:rFonts w:hint="eastAsia"/>
          <w:color w:val="auto"/>
          <w:lang w:eastAsia="zh-CN"/>
        </w:rPr>
        <w:br w:type="page"/>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eastAsia="宋体"/>
          <w:color w:val="auto"/>
          <w:lang w:val="en-US" w:eastAsia="zh-CN"/>
        </w:rPr>
      </w:pPr>
      <w:r>
        <w:rPr>
          <w:rFonts w:hint="eastAsia"/>
          <w:color w:val="auto"/>
          <w:lang w:eastAsia="zh-CN"/>
        </w:rPr>
        <w:t>表</w:t>
      </w:r>
      <w:r>
        <w:rPr>
          <w:rFonts w:hint="eastAsia"/>
          <w:color w:val="auto"/>
          <w:lang w:val="en-US" w:eastAsia="zh-CN"/>
        </w:rPr>
        <w:t>2  施工升降机</w:t>
      </w:r>
      <w:bookmarkStart w:id="0" w:name="_GoBack"/>
      <w:bookmarkEnd w:id="0"/>
    </w:p>
    <w:tbl>
      <w:tblPr>
        <w:tblStyle w:val="2"/>
        <w:tblW w:w="10763"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668"/>
        <w:gridCol w:w="885"/>
        <w:gridCol w:w="1589"/>
        <w:gridCol w:w="46"/>
        <w:gridCol w:w="150"/>
        <w:gridCol w:w="1215"/>
        <w:gridCol w:w="45"/>
        <w:gridCol w:w="104"/>
        <w:gridCol w:w="1051"/>
        <w:gridCol w:w="1230"/>
        <w:gridCol w:w="1125"/>
        <w:gridCol w:w="9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615"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序号</w:t>
            </w:r>
          </w:p>
        </w:tc>
        <w:tc>
          <w:tcPr>
            <w:tcW w:w="668"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项类</w:t>
            </w:r>
          </w:p>
        </w:tc>
        <w:tc>
          <w:tcPr>
            <w:tcW w:w="885"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项目编号</w:t>
            </w:r>
          </w:p>
        </w:tc>
        <w:tc>
          <w:tcPr>
            <w:tcW w:w="4200" w:type="dxa"/>
            <w:gridSpan w:val="7"/>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检验评定内容及要求</w:t>
            </w:r>
          </w:p>
        </w:tc>
        <w:tc>
          <w:tcPr>
            <w:tcW w:w="4395" w:type="dxa"/>
            <w:gridSpan w:val="4"/>
            <w:noWrap w:val="0"/>
            <w:vAlign w:val="center"/>
          </w:tcPr>
          <w:p>
            <w:pPr>
              <w:jc w:val="center"/>
              <w:rPr>
                <w:rFonts w:hint="eastAsia" w:ascii="黑体" w:eastAsia="黑体"/>
                <w:b/>
                <w:color w:val="auto"/>
                <w:lang w:eastAsia="zh-CN"/>
              </w:rPr>
            </w:pPr>
            <w:r>
              <w:rPr>
                <w:rFonts w:hint="eastAsia" w:ascii="黑体" w:eastAsia="黑体"/>
                <w:b/>
                <w:color w:val="auto"/>
                <w:lang w:eastAsia="zh-CN"/>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exact"/>
          <w:tblHeader/>
        </w:trPr>
        <w:tc>
          <w:tcPr>
            <w:tcW w:w="615" w:type="dxa"/>
            <w:vMerge w:val="continue"/>
            <w:noWrap w:val="0"/>
            <w:vAlign w:val="center"/>
          </w:tcPr>
          <w:p>
            <w:pPr>
              <w:widowControl/>
              <w:jc w:val="center"/>
              <w:rPr>
                <w:rFonts w:hint="eastAsia" w:ascii="宋体" w:hAnsi="宋体" w:cs="宋体"/>
                <w:color w:val="auto"/>
                <w:kern w:val="0"/>
                <w:sz w:val="20"/>
                <w:szCs w:val="20"/>
              </w:rPr>
            </w:pPr>
          </w:p>
        </w:tc>
        <w:tc>
          <w:tcPr>
            <w:tcW w:w="668" w:type="dxa"/>
            <w:vMerge w:val="continue"/>
            <w:noWrap w:val="0"/>
            <w:vAlign w:val="center"/>
          </w:tcPr>
          <w:p>
            <w:pPr>
              <w:widowControl/>
              <w:jc w:val="center"/>
              <w:rPr>
                <w:rFonts w:hint="eastAsia" w:ascii="宋体" w:hAnsi="宋体" w:cs="宋体"/>
                <w:color w:val="auto"/>
                <w:kern w:val="0"/>
                <w:sz w:val="20"/>
                <w:szCs w:val="20"/>
              </w:rPr>
            </w:pPr>
          </w:p>
        </w:tc>
        <w:tc>
          <w:tcPr>
            <w:tcW w:w="885" w:type="dxa"/>
            <w:vMerge w:val="continue"/>
            <w:noWrap w:val="0"/>
            <w:vAlign w:val="center"/>
          </w:tcPr>
          <w:p>
            <w:pPr>
              <w:widowControl/>
              <w:jc w:val="center"/>
              <w:rPr>
                <w:rFonts w:hint="eastAsia" w:ascii="宋体" w:hAnsi="宋体" w:cs="宋体"/>
                <w:color w:val="auto"/>
                <w:kern w:val="0"/>
                <w:sz w:val="20"/>
                <w:szCs w:val="20"/>
              </w:rPr>
            </w:pPr>
          </w:p>
        </w:tc>
        <w:tc>
          <w:tcPr>
            <w:tcW w:w="4200" w:type="dxa"/>
            <w:gridSpan w:val="7"/>
            <w:vMerge w:val="continue"/>
            <w:noWrap w:val="0"/>
            <w:vAlign w:val="center"/>
          </w:tcPr>
          <w:p>
            <w:pPr>
              <w:widowControl/>
              <w:jc w:val="center"/>
              <w:rPr>
                <w:rFonts w:hint="eastAsia" w:ascii="宋体" w:hAnsi="宋体" w:cs="宋体"/>
                <w:color w:val="auto"/>
                <w:kern w:val="0"/>
                <w:sz w:val="20"/>
                <w:szCs w:val="20"/>
              </w:rPr>
            </w:pPr>
          </w:p>
        </w:tc>
        <w:tc>
          <w:tcPr>
            <w:tcW w:w="1230" w:type="dxa"/>
            <w:noWrap w:val="0"/>
            <w:vAlign w:val="center"/>
          </w:tcPr>
          <w:p>
            <w:pPr>
              <w:jc w:val="center"/>
              <w:rPr>
                <w:rFonts w:hint="eastAsia" w:ascii="宋体" w:hAnsi="宋体" w:cs="宋体"/>
                <w:b/>
                <w:color w:val="auto"/>
              </w:rPr>
            </w:pPr>
            <w:r>
              <w:rPr>
                <w:rFonts w:hint="eastAsia" w:ascii="黑体" w:eastAsia="黑体"/>
                <w:b/>
                <w:color w:val="auto"/>
              </w:rPr>
              <w:t>1.拆机；2.行政处罚；3.对责任企业实施诚信记分</w:t>
            </w:r>
          </w:p>
        </w:tc>
        <w:tc>
          <w:tcPr>
            <w:tcW w:w="1125" w:type="dxa"/>
            <w:noWrap w:val="0"/>
            <w:vAlign w:val="center"/>
          </w:tcPr>
          <w:p>
            <w:pPr>
              <w:rPr>
                <w:rFonts w:hint="eastAsia" w:ascii="宋体" w:hAnsi="宋体" w:cs="宋体"/>
                <w:b/>
                <w:color w:val="auto"/>
              </w:rPr>
            </w:pPr>
            <w:r>
              <w:rPr>
                <w:rFonts w:hint="eastAsia" w:ascii="黑体" w:eastAsia="黑体"/>
                <w:b/>
                <w:color w:val="auto"/>
              </w:rPr>
              <w:t>1.行政处罚；2.限期整改；3.对责任企业实施诚信记分</w:t>
            </w:r>
          </w:p>
        </w:tc>
        <w:tc>
          <w:tcPr>
            <w:tcW w:w="960" w:type="dxa"/>
            <w:noWrap w:val="0"/>
            <w:vAlign w:val="center"/>
          </w:tcPr>
          <w:p>
            <w:pPr>
              <w:rPr>
                <w:rFonts w:hint="eastAsia" w:ascii="宋体" w:hAnsi="宋体" w:cs="宋体"/>
                <w:b/>
                <w:color w:val="auto"/>
              </w:rPr>
            </w:pPr>
            <w:r>
              <w:rPr>
                <w:rFonts w:hint="eastAsia" w:ascii="黑体" w:eastAsia="黑体"/>
                <w:b/>
                <w:color w:val="auto"/>
              </w:rPr>
              <w:t>1.限期整改；2.对责任企业实施动态记分</w:t>
            </w:r>
          </w:p>
        </w:tc>
        <w:tc>
          <w:tcPr>
            <w:tcW w:w="1080" w:type="dxa"/>
            <w:noWrap w:val="0"/>
            <w:vAlign w:val="center"/>
          </w:tcPr>
          <w:p>
            <w:pPr>
              <w:jc w:val="center"/>
              <w:rPr>
                <w:rFonts w:ascii="黑体" w:eastAsia="黑体"/>
                <w:b/>
                <w:color w:val="auto"/>
              </w:rPr>
            </w:pPr>
            <w:r>
              <w:rPr>
                <w:rFonts w:hint="eastAsia" w:ascii="黑体" w:eastAsia="黑体"/>
                <w:b/>
                <w:color w:val="auto"/>
              </w:rPr>
              <w:t>监护使用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w:t>
            </w:r>
          </w:p>
        </w:tc>
        <w:tc>
          <w:tcPr>
            <w:tcW w:w="668"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1.1</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结构</w:t>
            </w: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1.1.1</w:t>
            </w:r>
            <w:r>
              <w:rPr>
                <w:rFonts w:hint="eastAsia" w:ascii="宋体" w:hAnsi="宋体" w:cs="宋体"/>
                <w:color w:val="auto"/>
                <w:kern w:val="0"/>
                <w:sz w:val="20"/>
                <w:szCs w:val="20"/>
              </w:rPr>
              <w:br w:type="textWrapping"/>
            </w:r>
            <w:r>
              <w:rPr>
                <w:rFonts w:hint="eastAsia" w:ascii="宋体" w:hAnsi="宋体" w:cs="宋体"/>
                <w:color w:val="auto"/>
                <w:kern w:val="0"/>
                <w:sz w:val="20"/>
                <w:szCs w:val="20"/>
              </w:rPr>
              <w:t>主要受力</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构件</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施工升降机导轨架、传动系统、吊笼立柱、上下承载梁和附墙架等主要受力构件不得有永久变形、裂纹、开焊和严重锈蚀、磨损等缺陷。标准节立管壁厚减少量不得大于出厂厚度的25%</w:t>
            </w:r>
          </w:p>
        </w:tc>
        <w:tc>
          <w:tcPr>
            <w:tcW w:w="1230" w:type="dxa"/>
            <w:noWrap w:val="0"/>
            <w:vAlign w:val="center"/>
          </w:tcPr>
          <w:p>
            <w:pPr>
              <w:jc w:val="center"/>
              <w:rPr>
                <w:rFonts w:ascii="宋体" w:hAnsi="宋体"/>
                <w:color w:val="auto"/>
                <w:szCs w:val="21"/>
              </w:rPr>
            </w:pPr>
            <w:r>
              <w:rPr>
                <w:rFonts w:hint="eastAsia" w:ascii="宋体" w:hAnsi="宋体"/>
                <w:color w:val="auto"/>
                <w:szCs w:val="21"/>
              </w:rPr>
              <w:t>主要结构件严重塑性变形，脱焊、断裂无法修复的</w:t>
            </w:r>
          </w:p>
        </w:tc>
        <w:tc>
          <w:tcPr>
            <w:tcW w:w="1125" w:type="dxa"/>
            <w:noWrap w:val="0"/>
            <w:vAlign w:val="center"/>
          </w:tcPr>
          <w:p>
            <w:pPr>
              <w:jc w:val="center"/>
              <w:rPr>
                <w:rFonts w:ascii="宋体" w:hAnsi="宋体"/>
                <w:color w:val="auto"/>
                <w:szCs w:val="21"/>
              </w:rPr>
            </w:pPr>
            <w:r>
              <w:rPr>
                <w:rFonts w:hint="eastAsia" w:ascii="宋体" w:hAnsi="宋体"/>
                <w:color w:val="auto"/>
                <w:szCs w:val="21"/>
              </w:rPr>
              <w:t>主要结构件变形，可以修复的</w:t>
            </w:r>
          </w:p>
        </w:tc>
        <w:tc>
          <w:tcPr>
            <w:tcW w:w="960" w:type="dxa"/>
            <w:noWrap w:val="0"/>
            <w:vAlign w:val="center"/>
          </w:tcPr>
          <w:p>
            <w:pPr>
              <w:rPr>
                <w:rFonts w:ascii="宋体" w:hAnsi="宋体"/>
                <w:color w:val="auto"/>
                <w:szCs w:val="21"/>
              </w:rPr>
            </w:pPr>
            <w:r>
              <w:rPr>
                <w:rFonts w:hint="eastAsia" w:ascii="宋体" w:hAnsi="宋体"/>
                <w:color w:val="auto"/>
                <w:szCs w:val="21"/>
              </w:rPr>
              <w:t>腹杆等微小塑性变形，或者通过厂家技术鉴定不影响正常使用的</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1.1.2</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笼门尺寸</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吊笼门框的净高度至少为2.0m，净宽度至少为0.6m。吊笼门的开启高度不得小于1.8m</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1.1.3</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笼顶防护</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吊笼应封顶。吊笼顶应设置高度不小于1.1m的护栏，护栏的中间高度应设横杆，踢脚板高度不小于100mm</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15"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1.1.4</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紧急逃离</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出口</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吊笼顶部应设有紧急出口，并配有专用扶梯。出口应装有向外开启的活板门，并设有电气安全开关，且动作有效、可靠</w:t>
            </w:r>
          </w:p>
        </w:tc>
        <w:tc>
          <w:tcPr>
            <w:tcW w:w="1230" w:type="dxa"/>
            <w:noWrap w:val="0"/>
            <w:vAlign w:val="center"/>
          </w:tcPr>
          <w:p>
            <w:pPr>
              <w:widowControl/>
              <w:jc w:val="center"/>
              <w:rPr>
                <w:rFonts w:ascii="宋体" w:hAnsi="宋体" w:cs="宋体"/>
                <w:color w:val="auto"/>
                <w:kern w:val="0"/>
                <w:sz w:val="20"/>
                <w:szCs w:val="20"/>
              </w:rPr>
            </w:pPr>
          </w:p>
        </w:tc>
        <w:tc>
          <w:tcPr>
            <w:tcW w:w="1125" w:type="dxa"/>
            <w:vMerge w:val="restart"/>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615" w:type="dxa"/>
            <w:vMerge w:val="continue"/>
            <w:noWrap w:val="0"/>
            <w:vAlign w:val="center"/>
          </w:tcPr>
          <w:p>
            <w:pPr>
              <w:widowControl/>
              <w:jc w:val="left"/>
              <w:rPr>
                <w:rFonts w:ascii="宋体" w:hAnsi="宋体" w:cs="宋体"/>
                <w:color w:val="auto"/>
                <w:kern w:val="0"/>
                <w:sz w:val="20"/>
                <w:szCs w:val="20"/>
              </w:rPr>
            </w:pP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continue"/>
            <w:noWrap w:val="0"/>
            <w:vAlign w:val="center"/>
          </w:tcPr>
          <w:p>
            <w:pPr>
              <w:widowControl/>
              <w:jc w:val="left"/>
              <w:rPr>
                <w:rFonts w:ascii="宋体" w:hAnsi="宋体" w:cs="宋体"/>
                <w:color w:val="auto"/>
                <w:kern w:val="0"/>
                <w:sz w:val="20"/>
                <w:szCs w:val="20"/>
              </w:rPr>
            </w:pP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当吊笼顶部未设紧急出口时，应在吊笼立面上装设紧急逃离门，门应向吊笼内侧打开或采用滑动型的门，并设有电气安全开关，且动作有效、可靠</w:t>
            </w:r>
          </w:p>
        </w:tc>
        <w:tc>
          <w:tcPr>
            <w:tcW w:w="1230" w:type="dxa"/>
            <w:noWrap w:val="0"/>
            <w:vAlign w:val="center"/>
          </w:tcPr>
          <w:p>
            <w:pPr>
              <w:widowControl/>
              <w:jc w:val="center"/>
              <w:rPr>
                <w:rFonts w:ascii="宋体" w:hAnsi="宋体" w:cs="宋体"/>
                <w:color w:val="auto"/>
                <w:kern w:val="0"/>
                <w:sz w:val="20"/>
                <w:szCs w:val="20"/>
              </w:rPr>
            </w:pPr>
          </w:p>
        </w:tc>
        <w:tc>
          <w:tcPr>
            <w:tcW w:w="1125" w:type="dxa"/>
            <w:vMerge w:val="continue"/>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1.1.5</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吊笼底板</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吊笼底应防滑、排水，不得存有破损等缺陷</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15"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1.1.6</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吊笼与</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对重导向</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吊笼与对重的导向应正确可靠，吊笼采用滚轮导向，对重可采用滚轮或滑靴导向</w:t>
            </w:r>
          </w:p>
        </w:tc>
        <w:tc>
          <w:tcPr>
            <w:tcW w:w="1230" w:type="dxa"/>
            <w:noWrap w:val="0"/>
            <w:vAlign w:val="center"/>
          </w:tcPr>
          <w:p>
            <w:pPr>
              <w:widowControl/>
              <w:jc w:val="center"/>
              <w:rPr>
                <w:rFonts w:ascii="宋体" w:hAnsi="宋体" w:cs="宋体"/>
                <w:color w:val="auto"/>
                <w:kern w:val="0"/>
                <w:sz w:val="20"/>
                <w:szCs w:val="20"/>
              </w:rPr>
            </w:pPr>
          </w:p>
        </w:tc>
        <w:tc>
          <w:tcPr>
            <w:tcW w:w="1125" w:type="dxa"/>
            <w:vMerge w:val="restart"/>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15" w:type="dxa"/>
            <w:vMerge w:val="continue"/>
            <w:noWrap w:val="0"/>
            <w:vAlign w:val="center"/>
          </w:tcPr>
          <w:p>
            <w:pPr>
              <w:widowControl/>
              <w:jc w:val="left"/>
              <w:rPr>
                <w:rFonts w:ascii="宋体" w:hAnsi="宋体" w:cs="宋体"/>
                <w:color w:val="auto"/>
                <w:kern w:val="0"/>
                <w:sz w:val="20"/>
                <w:szCs w:val="20"/>
              </w:rPr>
            </w:pP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continue"/>
            <w:noWrap w:val="0"/>
            <w:vAlign w:val="center"/>
          </w:tcPr>
          <w:p>
            <w:pPr>
              <w:widowControl/>
              <w:jc w:val="left"/>
              <w:rPr>
                <w:rFonts w:ascii="宋体" w:hAnsi="宋体" w:cs="宋体"/>
                <w:color w:val="auto"/>
                <w:kern w:val="0"/>
                <w:sz w:val="20"/>
                <w:szCs w:val="20"/>
              </w:rPr>
            </w:pP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吊笼不允许当作对重使用</w:t>
            </w:r>
          </w:p>
        </w:tc>
        <w:tc>
          <w:tcPr>
            <w:tcW w:w="1230" w:type="dxa"/>
            <w:noWrap w:val="0"/>
            <w:vAlign w:val="center"/>
          </w:tcPr>
          <w:p>
            <w:pPr>
              <w:widowControl/>
              <w:jc w:val="center"/>
              <w:rPr>
                <w:rFonts w:ascii="宋体" w:hAnsi="宋体" w:cs="宋体"/>
                <w:color w:val="auto"/>
                <w:kern w:val="0"/>
                <w:sz w:val="20"/>
                <w:szCs w:val="20"/>
              </w:rPr>
            </w:pPr>
          </w:p>
        </w:tc>
        <w:tc>
          <w:tcPr>
            <w:tcW w:w="1125" w:type="dxa"/>
            <w:vMerge w:val="continue"/>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7</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1.1.7</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对重导轨</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对重导轨不得采用链条或钢丝绳等柔性物体</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15"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8</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1.1.8</w:t>
            </w:r>
            <w:r>
              <w:rPr>
                <w:rFonts w:hint="eastAsia" w:ascii="宋体" w:hAnsi="宋体" w:cs="宋体"/>
                <w:color w:val="auto"/>
                <w:kern w:val="0"/>
                <w:sz w:val="20"/>
                <w:szCs w:val="20"/>
              </w:rPr>
              <w:br w:type="textWrapping"/>
            </w:r>
            <w:r>
              <w:rPr>
                <w:rFonts w:hint="eastAsia" w:ascii="宋体" w:hAnsi="宋体" w:cs="宋体"/>
                <w:color w:val="auto"/>
                <w:kern w:val="0"/>
                <w:sz w:val="20"/>
                <w:szCs w:val="20"/>
              </w:rPr>
              <w:t>钢丝绳防脱装置</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滑轮、卷筒或曳引轮应有钢丝绳防脱装置，该装置与滑轮、卷筒或曳引轮外缘的间隙不应大于钢丝绳直径的20%，且不大于3mm</w:t>
            </w:r>
          </w:p>
        </w:tc>
        <w:tc>
          <w:tcPr>
            <w:tcW w:w="1230" w:type="dxa"/>
            <w:noWrap w:val="0"/>
            <w:vAlign w:val="center"/>
          </w:tcPr>
          <w:p>
            <w:pPr>
              <w:widowControl/>
              <w:jc w:val="center"/>
              <w:rPr>
                <w:rFonts w:ascii="宋体" w:hAnsi="宋体" w:cs="宋体"/>
                <w:color w:val="auto"/>
                <w:kern w:val="0"/>
                <w:sz w:val="20"/>
                <w:szCs w:val="20"/>
              </w:rPr>
            </w:pPr>
          </w:p>
        </w:tc>
        <w:tc>
          <w:tcPr>
            <w:tcW w:w="1125" w:type="dxa"/>
            <w:vMerge w:val="restart"/>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5" w:type="dxa"/>
            <w:vMerge w:val="continue"/>
            <w:noWrap w:val="0"/>
            <w:vAlign w:val="center"/>
          </w:tcPr>
          <w:p>
            <w:pPr>
              <w:widowControl/>
              <w:jc w:val="left"/>
              <w:rPr>
                <w:rFonts w:ascii="宋体" w:hAnsi="宋体" w:cs="宋体"/>
                <w:color w:val="auto"/>
                <w:kern w:val="0"/>
                <w:sz w:val="20"/>
                <w:szCs w:val="20"/>
              </w:rPr>
            </w:pP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continue"/>
            <w:noWrap w:val="0"/>
            <w:vAlign w:val="center"/>
          </w:tcPr>
          <w:p>
            <w:pPr>
              <w:widowControl/>
              <w:jc w:val="left"/>
              <w:rPr>
                <w:rFonts w:ascii="宋体" w:hAnsi="宋体" w:cs="宋体"/>
                <w:color w:val="auto"/>
                <w:kern w:val="0"/>
                <w:sz w:val="20"/>
                <w:szCs w:val="20"/>
              </w:rPr>
            </w:pP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卷筒两侧边超出最外层钢丝绳的高度不应小于钢丝绳直径的两倍</w:t>
            </w:r>
          </w:p>
        </w:tc>
        <w:tc>
          <w:tcPr>
            <w:tcW w:w="1230" w:type="dxa"/>
            <w:noWrap w:val="0"/>
            <w:vAlign w:val="center"/>
          </w:tcPr>
          <w:p>
            <w:pPr>
              <w:widowControl/>
              <w:jc w:val="center"/>
              <w:rPr>
                <w:rFonts w:ascii="宋体" w:hAnsi="宋体" w:cs="宋体"/>
                <w:b/>
                <w:color w:val="auto"/>
                <w:kern w:val="0"/>
                <w:sz w:val="20"/>
                <w:szCs w:val="20"/>
              </w:rPr>
            </w:pPr>
          </w:p>
        </w:tc>
        <w:tc>
          <w:tcPr>
            <w:tcW w:w="1125" w:type="dxa"/>
            <w:vMerge w:val="continue"/>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9</w:t>
            </w:r>
          </w:p>
        </w:tc>
        <w:tc>
          <w:tcPr>
            <w:tcW w:w="668"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1.2</w:t>
            </w:r>
            <w:r>
              <w:rPr>
                <w:rFonts w:hint="eastAsia" w:ascii="宋体" w:hAnsi="宋体" w:cs="宋体"/>
                <w:color w:val="auto"/>
                <w:kern w:val="0"/>
                <w:sz w:val="20"/>
                <w:szCs w:val="20"/>
              </w:rPr>
              <w:br w:type="textWrapping"/>
            </w:r>
            <w:r>
              <w:rPr>
                <w:rFonts w:hint="eastAsia" w:ascii="宋体" w:hAnsi="宋体" w:cs="宋体"/>
                <w:color w:val="auto"/>
                <w:kern w:val="0"/>
                <w:sz w:val="20"/>
                <w:szCs w:val="20"/>
              </w:rPr>
              <w:t>信息</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标志</w:t>
            </w:r>
            <w:r>
              <w:rPr>
                <w:rFonts w:hint="eastAsia" w:ascii="宋体" w:hAnsi="宋体" w:cs="宋体"/>
                <w:color w:val="auto"/>
                <w:kern w:val="0"/>
                <w:sz w:val="20"/>
                <w:szCs w:val="20"/>
              </w:rPr>
              <w:br w:type="textWrapping"/>
            </w:r>
            <w:r>
              <w:rPr>
                <w:rFonts w:hint="eastAsia" w:ascii="宋体" w:hAnsi="宋体" w:cs="宋体"/>
                <w:color w:val="auto"/>
                <w:kern w:val="0"/>
                <w:sz w:val="20"/>
                <w:szCs w:val="20"/>
              </w:rPr>
              <w:t>与信</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号</w:t>
            </w: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1.2.1</w:t>
            </w:r>
            <w:r>
              <w:rPr>
                <w:rFonts w:hint="eastAsia" w:ascii="宋体" w:hAnsi="宋体" w:cs="宋体"/>
                <w:color w:val="auto"/>
                <w:kern w:val="0"/>
                <w:sz w:val="20"/>
                <w:szCs w:val="20"/>
              </w:rPr>
              <w:br w:type="textWrapping"/>
            </w:r>
            <w:r>
              <w:rPr>
                <w:rFonts w:hint="eastAsia" w:ascii="宋体" w:hAnsi="宋体" w:cs="宋体"/>
                <w:color w:val="auto"/>
                <w:kern w:val="0"/>
                <w:sz w:val="20"/>
                <w:szCs w:val="20"/>
              </w:rPr>
              <w:t>产品标牌</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应在升降机易于观察的位置设置耐腐蚀的金属产品标牌，其内容应包括：产品名称和型号；产品主要性能参数；产品出厂编号；产品制造日期；制造商名称</w:t>
            </w:r>
          </w:p>
        </w:tc>
        <w:tc>
          <w:tcPr>
            <w:tcW w:w="1230" w:type="dxa"/>
            <w:noWrap w:val="0"/>
            <w:vAlign w:val="center"/>
          </w:tcPr>
          <w:p>
            <w:pPr>
              <w:jc w:val="center"/>
              <w:rPr>
                <w:rFonts w:ascii="宋体" w:hAnsi="宋体"/>
                <w:color w:val="auto"/>
              </w:rPr>
            </w:pPr>
            <w:r>
              <w:rPr>
                <w:rFonts w:ascii="宋体" w:hAnsi="宋体"/>
                <w:color w:val="auto"/>
              </w:rPr>
              <w:t>非法改造的</w:t>
            </w:r>
            <w:r>
              <w:rPr>
                <w:rFonts w:hint="eastAsia" w:ascii="宋体" w:hAnsi="宋体"/>
                <w:color w:val="auto"/>
              </w:rPr>
              <w:t>，</w:t>
            </w:r>
            <w:r>
              <w:rPr>
                <w:rFonts w:ascii="宋体" w:hAnsi="宋体"/>
                <w:color w:val="auto"/>
              </w:rPr>
              <w:t>如工频改变频</w:t>
            </w:r>
            <w:r>
              <w:rPr>
                <w:rFonts w:hint="eastAsia" w:ascii="宋体" w:hAnsi="宋体"/>
                <w:color w:val="auto"/>
              </w:rPr>
              <w:t>，</w:t>
            </w:r>
            <w:r>
              <w:rPr>
                <w:rFonts w:ascii="宋体" w:hAnsi="宋体"/>
                <w:color w:val="auto"/>
              </w:rPr>
              <w:t>但是无法提供改造单位资质</w:t>
            </w:r>
            <w:r>
              <w:rPr>
                <w:rFonts w:hint="eastAsia" w:ascii="宋体" w:hAnsi="宋体"/>
                <w:color w:val="auto"/>
              </w:rPr>
              <w:t>、</w:t>
            </w:r>
            <w:r>
              <w:rPr>
                <w:rFonts w:ascii="宋体" w:hAnsi="宋体"/>
                <w:color w:val="auto"/>
              </w:rPr>
              <w:t>改造技术方案</w:t>
            </w:r>
            <w:r>
              <w:rPr>
                <w:rFonts w:hint="eastAsia" w:ascii="宋体" w:hAnsi="宋体"/>
                <w:color w:val="auto"/>
              </w:rPr>
              <w:t>、</w:t>
            </w:r>
            <w:r>
              <w:rPr>
                <w:rFonts w:ascii="宋体" w:hAnsi="宋体"/>
                <w:color w:val="auto"/>
              </w:rPr>
              <w:t>改造监督检验报告的</w:t>
            </w:r>
          </w:p>
        </w:tc>
        <w:tc>
          <w:tcPr>
            <w:tcW w:w="1125" w:type="dxa"/>
            <w:noWrap w:val="0"/>
            <w:vAlign w:val="center"/>
          </w:tcPr>
          <w:p>
            <w:pPr>
              <w:jc w:val="center"/>
              <w:rPr>
                <w:rFonts w:ascii="宋体" w:hAnsi="宋体"/>
                <w:color w:val="auto"/>
              </w:rPr>
            </w:pPr>
            <w:r>
              <w:rPr>
                <w:rFonts w:hint="eastAsia" w:ascii="宋体" w:hAnsi="宋体"/>
                <w:color w:val="auto"/>
              </w:rPr>
              <w:t>产品标牌与各机构铭牌缺失，存在非法涂改、私自拼凑的</w:t>
            </w:r>
          </w:p>
        </w:tc>
        <w:tc>
          <w:tcPr>
            <w:tcW w:w="960" w:type="dxa"/>
            <w:noWrap w:val="0"/>
            <w:vAlign w:val="center"/>
          </w:tcPr>
          <w:p>
            <w:pPr>
              <w:jc w:val="center"/>
              <w:rPr>
                <w:rFonts w:ascii="宋体" w:hAnsi="宋体"/>
                <w:color w:val="auto"/>
              </w:rPr>
            </w:pPr>
            <w:r>
              <w:rPr>
                <w:rFonts w:hint="eastAsia" w:ascii="宋体" w:hAnsi="宋体"/>
                <w:color w:val="auto"/>
              </w:rPr>
              <w:t>产品标牌与各机构铭牌出厂日期不一致，需厂家确认是否存在套牌、拼装情况，更换的电机等部件需在整机的使用寿命年限内，应做好相关的维保记录</w:t>
            </w:r>
          </w:p>
        </w:tc>
        <w:tc>
          <w:tcPr>
            <w:tcW w:w="1080" w:type="dxa"/>
            <w:noWrap w:val="0"/>
            <w:vAlign w:val="center"/>
          </w:tcPr>
          <w:p>
            <w:pPr>
              <w:jc w:val="center"/>
              <w:rPr>
                <w:rFonts w:ascii="宋体" w:hAnsi="宋体"/>
                <w:color w:val="auto"/>
              </w:rPr>
            </w:pPr>
            <w:r>
              <w:rPr>
                <w:rFonts w:hint="eastAsia" w:ascii="宋体" w:hAnsi="宋体"/>
                <w:color w:val="auto"/>
              </w:rPr>
              <w:t>产品标牌与各机构铭牌出厂日期不一致，厂家认可，设备不存在套牌情况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1.2.2</w:t>
            </w:r>
            <w:r>
              <w:rPr>
                <w:rFonts w:hint="eastAsia" w:ascii="宋体" w:hAnsi="宋体" w:cs="宋体"/>
                <w:color w:val="auto"/>
                <w:kern w:val="0"/>
                <w:sz w:val="20"/>
                <w:szCs w:val="20"/>
              </w:rPr>
              <w:br w:type="textWrapping"/>
            </w:r>
            <w:r>
              <w:rPr>
                <w:rFonts w:hint="eastAsia" w:ascii="宋体" w:hAnsi="宋体" w:cs="宋体"/>
                <w:color w:val="auto"/>
                <w:kern w:val="0"/>
                <w:sz w:val="20"/>
                <w:szCs w:val="20"/>
              </w:rPr>
              <w:t>限载标志</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应在施工升降机明显部位设置限载、限人标志</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olor w:val="auto"/>
              </w:rPr>
            </w:pPr>
          </w:p>
        </w:tc>
        <w:tc>
          <w:tcPr>
            <w:tcW w:w="960" w:type="dxa"/>
            <w:noWrap w:val="0"/>
            <w:vAlign w:val="center"/>
          </w:tcPr>
          <w:p>
            <w:pPr>
              <w:widowControl/>
              <w:jc w:val="center"/>
              <w:rPr>
                <w:rFonts w:ascii="宋体" w:hAnsi="宋体"/>
                <w:color w:val="auto"/>
              </w:rPr>
            </w:pPr>
            <w:r>
              <w:rPr>
                <w:rFonts w:hint="eastAsia" w:ascii="宋体" w:hAnsi="宋体"/>
                <w:color w:val="auto"/>
              </w:rPr>
              <w:t>√</w:t>
            </w:r>
          </w:p>
        </w:tc>
        <w:tc>
          <w:tcPr>
            <w:tcW w:w="1080" w:type="dxa"/>
            <w:noWrap w:val="0"/>
            <w:vAlign w:val="center"/>
          </w:tcPr>
          <w:p>
            <w:pPr>
              <w:widowControl/>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11</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1.2.3</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操作标识</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在操作位置上应标明控制元件的用途和动作方向，指示信息应易于识别且清晰可见</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12</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1.2.4</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标准节</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标识</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当同一施工升降机的标准节有不同的立管壁厚时，标准节应有明确的区分标识</w:t>
            </w:r>
          </w:p>
        </w:tc>
        <w:tc>
          <w:tcPr>
            <w:tcW w:w="1230" w:type="dxa"/>
            <w:noWrap w:val="0"/>
            <w:vAlign w:val="center"/>
          </w:tcPr>
          <w:p>
            <w:pPr>
              <w:jc w:val="center"/>
              <w:rPr>
                <w:rFonts w:ascii="宋体" w:hAnsi="宋体"/>
                <w:color w:val="auto"/>
              </w:rPr>
            </w:pPr>
            <w:r>
              <w:rPr>
                <w:rFonts w:hint="eastAsia" w:ascii="宋体" w:hAnsi="宋体"/>
                <w:color w:val="auto"/>
              </w:rPr>
              <w:t>主要结构件无追溯标志，无制造厂家书面说明认可的，或者超过规定使用年限的</w:t>
            </w:r>
          </w:p>
        </w:tc>
        <w:tc>
          <w:tcPr>
            <w:tcW w:w="1125" w:type="dxa"/>
            <w:noWrap w:val="0"/>
            <w:vAlign w:val="center"/>
          </w:tcPr>
          <w:p>
            <w:pPr>
              <w:jc w:val="center"/>
              <w:rPr>
                <w:rFonts w:ascii="宋体" w:hAnsi="宋体"/>
                <w:color w:val="auto"/>
              </w:rPr>
            </w:pPr>
          </w:p>
        </w:tc>
        <w:tc>
          <w:tcPr>
            <w:tcW w:w="960" w:type="dxa"/>
            <w:noWrap w:val="0"/>
            <w:vAlign w:val="center"/>
          </w:tcPr>
          <w:p>
            <w:pPr>
              <w:jc w:val="center"/>
              <w:rPr>
                <w:rFonts w:ascii="宋体" w:hAnsi="宋体"/>
                <w:color w:val="auto"/>
              </w:rPr>
            </w:pPr>
            <w:r>
              <w:rPr>
                <w:rFonts w:hint="eastAsia" w:ascii="宋体" w:hAnsi="宋体"/>
                <w:color w:val="auto"/>
              </w:rPr>
              <w:t>主要结构件追溯标志不一致，或者无追溯标志的需，经制造厂家认可的，确认是否存在套牌、拼装机的情况</w:t>
            </w:r>
          </w:p>
        </w:tc>
        <w:tc>
          <w:tcPr>
            <w:tcW w:w="1080" w:type="dxa"/>
            <w:noWrap w:val="0"/>
            <w:vAlign w:val="center"/>
          </w:tcPr>
          <w:p>
            <w:pPr>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15"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13</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1.2.5</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对重标志</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对重应根据有关规定的要求涂成警告色</w:t>
            </w:r>
          </w:p>
        </w:tc>
        <w:tc>
          <w:tcPr>
            <w:tcW w:w="1230" w:type="dxa"/>
            <w:noWrap w:val="0"/>
            <w:vAlign w:val="center"/>
          </w:tcPr>
          <w:p>
            <w:pPr>
              <w:widowControl/>
              <w:jc w:val="center"/>
              <w:rPr>
                <w:rFonts w:ascii="宋体" w:hAnsi="宋体" w:cs="宋体"/>
                <w:color w:val="auto"/>
                <w:kern w:val="0"/>
                <w:sz w:val="20"/>
                <w:szCs w:val="20"/>
              </w:rPr>
            </w:pPr>
          </w:p>
        </w:tc>
        <w:tc>
          <w:tcPr>
            <w:tcW w:w="1125" w:type="dxa"/>
            <w:vMerge w:val="restart"/>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5" w:type="dxa"/>
            <w:vMerge w:val="continue"/>
            <w:noWrap w:val="0"/>
            <w:vAlign w:val="center"/>
          </w:tcPr>
          <w:p>
            <w:pPr>
              <w:widowControl/>
              <w:jc w:val="left"/>
              <w:rPr>
                <w:rFonts w:ascii="宋体" w:hAnsi="宋体" w:cs="宋体"/>
                <w:color w:val="auto"/>
                <w:kern w:val="0"/>
                <w:sz w:val="20"/>
                <w:szCs w:val="20"/>
              </w:rPr>
            </w:pP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continue"/>
            <w:noWrap w:val="0"/>
            <w:vAlign w:val="center"/>
          </w:tcPr>
          <w:p>
            <w:pPr>
              <w:widowControl/>
              <w:jc w:val="left"/>
              <w:rPr>
                <w:rFonts w:ascii="宋体" w:hAnsi="宋体" w:cs="宋体"/>
                <w:color w:val="auto"/>
                <w:kern w:val="0"/>
                <w:sz w:val="20"/>
                <w:szCs w:val="20"/>
              </w:rPr>
            </w:pP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对重上应标明其自重</w:t>
            </w:r>
          </w:p>
        </w:tc>
        <w:tc>
          <w:tcPr>
            <w:tcW w:w="1230" w:type="dxa"/>
            <w:noWrap w:val="0"/>
            <w:vAlign w:val="center"/>
          </w:tcPr>
          <w:p>
            <w:pPr>
              <w:widowControl/>
              <w:jc w:val="center"/>
              <w:rPr>
                <w:rFonts w:ascii="宋体" w:hAnsi="宋体" w:cs="宋体"/>
                <w:b/>
                <w:color w:val="auto"/>
                <w:kern w:val="0"/>
                <w:sz w:val="20"/>
                <w:szCs w:val="20"/>
              </w:rPr>
            </w:pPr>
          </w:p>
        </w:tc>
        <w:tc>
          <w:tcPr>
            <w:tcW w:w="1125" w:type="dxa"/>
            <w:vMerge w:val="continue"/>
            <w:noWrap w:val="0"/>
            <w:vAlign w:val="center"/>
          </w:tcPr>
          <w:p>
            <w:pPr>
              <w:widowControl/>
              <w:jc w:val="left"/>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left"/>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14</w:t>
            </w:r>
          </w:p>
        </w:tc>
        <w:tc>
          <w:tcPr>
            <w:tcW w:w="668"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1.2</w:t>
            </w:r>
            <w:r>
              <w:rPr>
                <w:rFonts w:hint="eastAsia" w:ascii="宋体" w:hAnsi="宋体" w:cs="宋体"/>
                <w:color w:val="auto"/>
                <w:kern w:val="0"/>
                <w:sz w:val="20"/>
                <w:szCs w:val="20"/>
              </w:rPr>
              <w:br w:type="textWrapping"/>
            </w:r>
            <w:r>
              <w:rPr>
                <w:rFonts w:hint="eastAsia" w:ascii="宋体" w:hAnsi="宋体" w:cs="宋体"/>
                <w:color w:val="auto"/>
                <w:kern w:val="0"/>
                <w:sz w:val="20"/>
                <w:szCs w:val="20"/>
              </w:rPr>
              <w:t>信息标志与信号</w:t>
            </w: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1.2.6</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报警装置</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应在吊笼内明显位置装设易于接近的报警装置。当采用对讲系统时，应保证在施工升降机断电后1h内仍能维持正常工作</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15</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1.2.7</w:t>
            </w:r>
            <w:r>
              <w:rPr>
                <w:rFonts w:hint="eastAsia" w:ascii="宋体" w:hAnsi="宋体" w:cs="宋体"/>
                <w:color w:val="auto"/>
                <w:kern w:val="0"/>
                <w:sz w:val="20"/>
                <w:szCs w:val="20"/>
              </w:rPr>
              <w:br w:type="textWrapping"/>
            </w:r>
            <w:r>
              <w:rPr>
                <w:rFonts w:hint="eastAsia" w:ascii="宋体" w:hAnsi="宋体" w:cs="宋体"/>
                <w:color w:val="auto"/>
                <w:kern w:val="0"/>
                <w:sz w:val="20"/>
                <w:szCs w:val="20"/>
              </w:rPr>
              <w:t>联络装置</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施工升降机应设置能显示呼叫楼层的层楼联络装置，且工作正常</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16</w:t>
            </w:r>
          </w:p>
        </w:tc>
        <w:tc>
          <w:tcPr>
            <w:tcW w:w="668"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1.3</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电气控制操纵及保护</w:t>
            </w: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1.3.1</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电气设备防护</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电气设备应设有防护措施，能防止外界如雨、雪、泥浆、灰尘等造成的危害</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17</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1.3.2</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电气联锁</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控制吊笼上、下运行的接触器应电气联锁</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18</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1.3.3</w:t>
            </w:r>
            <w:r>
              <w:rPr>
                <w:rFonts w:hint="eastAsia" w:ascii="宋体" w:hAnsi="宋体" w:cs="宋体"/>
                <w:color w:val="auto"/>
                <w:kern w:val="0"/>
                <w:sz w:val="20"/>
                <w:szCs w:val="20"/>
              </w:rPr>
              <w:br w:type="textWrapping"/>
            </w:r>
            <w:r>
              <w:rPr>
                <w:rFonts w:hint="eastAsia" w:ascii="宋体" w:hAnsi="宋体" w:cs="宋体"/>
                <w:color w:val="auto"/>
                <w:kern w:val="0"/>
                <w:sz w:val="20"/>
                <w:szCs w:val="20"/>
              </w:rPr>
              <w:t>零位保护</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机构控制回路必须设置零位保护，运行中因故障或失压停止运行后，重新恢复供电时，机构不得自行动作，应人为将控制器置零位后，机构才能重新启动</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19</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1.3.4</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电气保护</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施工升降机电路应设有短路保护、过载保护、断相及错相保护</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20</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1.3.5</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接地故障</w:t>
            </w:r>
            <w:r>
              <w:rPr>
                <w:rFonts w:hint="eastAsia" w:ascii="宋体" w:hAnsi="宋体" w:cs="宋体"/>
                <w:color w:val="auto"/>
                <w:kern w:val="0"/>
                <w:sz w:val="20"/>
                <w:szCs w:val="20"/>
              </w:rPr>
              <w:br w:type="textWrapping"/>
            </w:r>
            <w:r>
              <w:rPr>
                <w:rFonts w:hint="eastAsia" w:ascii="宋体" w:hAnsi="宋体" w:cs="宋体"/>
                <w:color w:val="auto"/>
                <w:kern w:val="0"/>
                <w:sz w:val="20"/>
                <w:szCs w:val="20"/>
              </w:rPr>
              <w:t>保护</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当接地出现故障时，主控制电路和其它控制电路中的断路器应自动切断</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21</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1.3.6</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变频调速</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电路保护</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对变频调速施工升降机，控制回路应采取措施避免当驱动电机起发电作用时引起的危险</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★22</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1.3.7</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吊笼顶部</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控制装置</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吊笼顶用作安装、拆卸、维修的平台时，应设有检修或拆装时的顶部控制装置。对多速升降机只允许吊笼以低速运行。控制装置应安装非自行复位的急停开关，任何时候均可切断电路停止吊笼的运行。在使用顶部控制装置时，其他操作装置均不起作用，但吊笼的安全装置仍应起作用</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5"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23</w:t>
            </w:r>
          </w:p>
        </w:tc>
        <w:tc>
          <w:tcPr>
            <w:tcW w:w="668"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1.4</w:t>
            </w:r>
            <w:r>
              <w:rPr>
                <w:rFonts w:hint="eastAsia" w:ascii="宋体" w:hAnsi="宋体" w:cs="宋体"/>
                <w:color w:val="auto"/>
                <w:kern w:val="0"/>
                <w:sz w:val="20"/>
                <w:szCs w:val="20"/>
              </w:rPr>
              <w:br w:type="textWrapping"/>
            </w:r>
            <w:r>
              <w:rPr>
                <w:rFonts w:hint="eastAsia" w:ascii="宋体" w:hAnsi="宋体" w:cs="宋体"/>
                <w:color w:val="auto"/>
                <w:kern w:val="0"/>
                <w:sz w:val="20"/>
                <w:szCs w:val="20"/>
              </w:rPr>
              <w:t>传动</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系统</w:t>
            </w:r>
          </w:p>
        </w:tc>
        <w:tc>
          <w:tcPr>
            <w:tcW w:w="885"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1.4.1</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密封性能</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施工升降机的传动系统不应出现滴油现象</w:t>
            </w:r>
          </w:p>
        </w:tc>
        <w:tc>
          <w:tcPr>
            <w:tcW w:w="1230" w:type="dxa"/>
            <w:noWrap w:val="0"/>
            <w:vAlign w:val="center"/>
          </w:tcPr>
          <w:p>
            <w:pPr>
              <w:widowControl/>
              <w:jc w:val="center"/>
              <w:rPr>
                <w:rFonts w:ascii="宋体" w:hAnsi="宋体" w:cs="宋体"/>
                <w:color w:val="auto"/>
                <w:kern w:val="0"/>
                <w:sz w:val="20"/>
                <w:szCs w:val="20"/>
              </w:rPr>
            </w:pPr>
          </w:p>
        </w:tc>
        <w:tc>
          <w:tcPr>
            <w:tcW w:w="1125" w:type="dxa"/>
            <w:vMerge w:val="restart"/>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5" w:type="dxa"/>
            <w:vMerge w:val="continue"/>
            <w:noWrap w:val="0"/>
            <w:vAlign w:val="center"/>
          </w:tcPr>
          <w:p>
            <w:pPr>
              <w:widowControl/>
              <w:jc w:val="left"/>
              <w:rPr>
                <w:rFonts w:ascii="宋体" w:hAnsi="宋体" w:cs="宋体"/>
                <w:color w:val="auto"/>
                <w:kern w:val="0"/>
                <w:sz w:val="20"/>
                <w:szCs w:val="20"/>
              </w:rPr>
            </w:pP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continue"/>
            <w:noWrap w:val="0"/>
            <w:vAlign w:val="center"/>
          </w:tcPr>
          <w:p>
            <w:pPr>
              <w:widowControl/>
              <w:jc w:val="left"/>
              <w:rPr>
                <w:rFonts w:ascii="宋体" w:hAnsi="宋体" w:cs="宋体"/>
                <w:color w:val="auto"/>
                <w:kern w:val="0"/>
                <w:sz w:val="20"/>
                <w:szCs w:val="20"/>
              </w:rPr>
            </w:pP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施工升降机的液压系统不应出现滴油现象</w:t>
            </w:r>
          </w:p>
        </w:tc>
        <w:tc>
          <w:tcPr>
            <w:tcW w:w="1230" w:type="dxa"/>
            <w:noWrap w:val="0"/>
            <w:vAlign w:val="center"/>
          </w:tcPr>
          <w:p>
            <w:pPr>
              <w:widowControl/>
              <w:jc w:val="center"/>
              <w:rPr>
                <w:rFonts w:ascii="宋体" w:hAnsi="宋体" w:cs="宋体"/>
                <w:color w:val="auto"/>
                <w:kern w:val="0"/>
                <w:sz w:val="20"/>
                <w:szCs w:val="20"/>
              </w:rPr>
            </w:pPr>
          </w:p>
        </w:tc>
        <w:tc>
          <w:tcPr>
            <w:tcW w:w="1125" w:type="dxa"/>
            <w:vMerge w:val="continue"/>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24</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1.4.2</w:t>
            </w:r>
            <w:r>
              <w:rPr>
                <w:rFonts w:hint="eastAsia" w:ascii="宋体" w:hAnsi="宋体" w:cs="宋体"/>
                <w:color w:val="auto"/>
                <w:kern w:val="0"/>
                <w:sz w:val="20"/>
                <w:szCs w:val="20"/>
              </w:rPr>
              <w:br w:type="textWrapping"/>
            </w:r>
            <w:r>
              <w:rPr>
                <w:rFonts w:hint="eastAsia" w:ascii="宋体" w:hAnsi="宋体" w:cs="宋体"/>
                <w:color w:val="auto"/>
                <w:kern w:val="0"/>
                <w:sz w:val="20"/>
                <w:szCs w:val="20"/>
              </w:rPr>
              <w:t>传动系统防护</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传动系统及其防护措施应便于维修检查，有关零部件应防止雨、雪、泥浆、灰尘等有害物质侵入</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25</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1.4.3</w:t>
            </w:r>
            <w:r>
              <w:rPr>
                <w:rFonts w:hint="eastAsia" w:ascii="宋体" w:hAnsi="宋体" w:cs="宋体"/>
                <w:color w:val="auto"/>
                <w:kern w:val="0"/>
                <w:sz w:val="20"/>
                <w:szCs w:val="20"/>
              </w:rPr>
              <w:br w:type="textWrapping"/>
            </w:r>
            <w:r>
              <w:rPr>
                <w:rFonts w:hint="eastAsia" w:ascii="宋体" w:hAnsi="宋体" w:cs="宋体"/>
                <w:color w:val="auto"/>
                <w:kern w:val="0"/>
                <w:sz w:val="20"/>
                <w:szCs w:val="20"/>
              </w:rPr>
              <w:t>驱动装置</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每个吊笼至少应有一套驱动装置。驱动电机应通过不会脱离啮合的直接传动系统与驱动齿轮相连接。吊笼在工作中应始终由动力驱动上升或下降</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26</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1.4.4</w:t>
            </w:r>
            <w:r>
              <w:rPr>
                <w:rFonts w:hint="eastAsia" w:ascii="宋体" w:hAnsi="宋体" w:cs="宋体"/>
                <w:color w:val="auto"/>
                <w:kern w:val="0"/>
                <w:sz w:val="20"/>
                <w:szCs w:val="20"/>
              </w:rPr>
              <w:br w:type="textWrapping"/>
            </w:r>
            <w:r>
              <w:rPr>
                <w:rFonts w:hint="eastAsia" w:ascii="宋体" w:hAnsi="宋体" w:cs="宋体"/>
                <w:color w:val="auto"/>
                <w:kern w:val="0"/>
                <w:sz w:val="20"/>
                <w:szCs w:val="20"/>
              </w:rPr>
              <w:t>齿条连接</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标准节上的齿条连接应牢固。相邻两齿条的对接处,沿齿高方向的阶差不应大于0.3mm,沿长度方向的齿距偏差不应大于0.6mm</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15"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27</w:t>
            </w:r>
          </w:p>
        </w:tc>
        <w:tc>
          <w:tcPr>
            <w:tcW w:w="668"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1.4</w:t>
            </w:r>
            <w:r>
              <w:rPr>
                <w:rFonts w:hint="eastAsia" w:ascii="宋体" w:hAnsi="宋体" w:cs="宋体"/>
                <w:color w:val="auto"/>
                <w:kern w:val="0"/>
                <w:sz w:val="20"/>
                <w:szCs w:val="20"/>
              </w:rPr>
              <w:br w:type="textWrapping"/>
            </w:r>
            <w:r>
              <w:rPr>
                <w:rFonts w:hint="eastAsia" w:ascii="宋体" w:hAnsi="宋体" w:cs="宋体"/>
                <w:color w:val="auto"/>
                <w:kern w:val="0"/>
                <w:sz w:val="20"/>
                <w:szCs w:val="20"/>
              </w:rPr>
              <w:t>传动</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系统</w:t>
            </w:r>
          </w:p>
        </w:tc>
        <w:tc>
          <w:tcPr>
            <w:tcW w:w="885" w:type="dxa"/>
            <w:vMerge w:val="restart"/>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1.4.5</w:t>
            </w:r>
          </w:p>
          <w:p>
            <w:pPr>
              <w:widowControl/>
              <w:jc w:val="center"/>
              <w:rPr>
                <w:rFonts w:ascii="宋体" w:hAnsi="宋体" w:cs="宋体"/>
                <w:color w:val="auto"/>
                <w:kern w:val="0"/>
                <w:sz w:val="20"/>
                <w:szCs w:val="20"/>
              </w:rPr>
            </w:pPr>
            <w:r>
              <w:rPr>
                <w:rFonts w:hint="eastAsia" w:ascii="宋体" w:hAnsi="宋体" w:cs="宋体"/>
                <w:color w:val="auto"/>
                <w:kern w:val="0"/>
                <w:sz w:val="20"/>
                <w:szCs w:val="20"/>
              </w:rPr>
              <w:t>齿轮、齿条磨损</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齿轮的磨损量应符合制造商的规定</w:t>
            </w:r>
          </w:p>
        </w:tc>
        <w:tc>
          <w:tcPr>
            <w:tcW w:w="1230" w:type="dxa"/>
            <w:noWrap w:val="0"/>
            <w:vAlign w:val="center"/>
          </w:tcPr>
          <w:p>
            <w:pPr>
              <w:widowControl/>
              <w:jc w:val="center"/>
              <w:rPr>
                <w:rFonts w:ascii="宋体" w:hAnsi="宋体" w:cs="宋体"/>
                <w:color w:val="auto"/>
                <w:kern w:val="0"/>
                <w:sz w:val="20"/>
                <w:szCs w:val="20"/>
              </w:rPr>
            </w:pPr>
          </w:p>
        </w:tc>
        <w:tc>
          <w:tcPr>
            <w:tcW w:w="1125" w:type="dxa"/>
            <w:vMerge w:val="restart"/>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15" w:type="dxa"/>
            <w:vMerge w:val="continue"/>
            <w:noWrap w:val="0"/>
            <w:vAlign w:val="center"/>
          </w:tcPr>
          <w:p>
            <w:pPr>
              <w:widowControl/>
              <w:jc w:val="left"/>
              <w:rPr>
                <w:rFonts w:ascii="宋体" w:hAnsi="宋体" w:cs="宋体"/>
                <w:color w:val="auto"/>
                <w:kern w:val="0"/>
                <w:sz w:val="20"/>
                <w:szCs w:val="20"/>
              </w:rPr>
            </w:pP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continue"/>
            <w:noWrap w:val="0"/>
            <w:vAlign w:val="center"/>
          </w:tcPr>
          <w:p>
            <w:pPr>
              <w:widowControl/>
              <w:jc w:val="center"/>
              <w:rPr>
                <w:rFonts w:ascii="宋体" w:hAnsi="宋体" w:cs="宋体"/>
                <w:color w:val="auto"/>
                <w:kern w:val="0"/>
                <w:sz w:val="20"/>
                <w:szCs w:val="20"/>
              </w:rPr>
            </w:pP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齿条的磨损量应符合制造商的规定</w:t>
            </w:r>
          </w:p>
        </w:tc>
        <w:tc>
          <w:tcPr>
            <w:tcW w:w="1230" w:type="dxa"/>
            <w:noWrap w:val="0"/>
            <w:vAlign w:val="center"/>
          </w:tcPr>
          <w:p>
            <w:pPr>
              <w:widowControl/>
              <w:jc w:val="center"/>
              <w:rPr>
                <w:rFonts w:ascii="宋体" w:hAnsi="宋体" w:cs="宋体"/>
                <w:b/>
                <w:color w:val="auto"/>
                <w:kern w:val="0"/>
                <w:sz w:val="20"/>
                <w:szCs w:val="20"/>
              </w:rPr>
            </w:pPr>
          </w:p>
        </w:tc>
        <w:tc>
          <w:tcPr>
            <w:tcW w:w="1125" w:type="dxa"/>
            <w:vMerge w:val="continue"/>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28</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1.4.6</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卷扬驱动</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施工升降机采用卷扬驱动时，应无对重，且吊笼额定提升速度应不大于0.63m/s</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15"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★29</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1.4.7</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制动器设置</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传动系统应设有常闭式制动器。不允许采用带式制动器</w:t>
            </w:r>
          </w:p>
        </w:tc>
        <w:tc>
          <w:tcPr>
            <w:tcW w:w="1230" w:type="dxa"/>
            <w:noWrap w:val="0"/>
            <w:vAlign w:val="center"/>
          </w:tcPr>
          <w:p>
            <w:pPr>
              <w:widowControl/>
              <w:jc w:val="center"/>
              <w:rPr>
                <w:rFonts w:ascii="宋体" w:hAnsi="宋体" w:cs="宋体"/>
                <w:color w:val="auto"/>
                <w:kern w:val="0"/>
                <w:sz w:val="20"/>
                <w:szCs w:val="20"/>
              </w:rPr>
            </w:pPr>
          </w:p>
        </w:tc>
        <w:tc>
          <w:tcPr>
            <w:tcW w:w="1125"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制动器磨损严重，制动失效</w:t>
            </w:r>
          </w:p>
        </w:tc>
        <w:tc>
          <w:tcPr>
            <w:tcW w:w="960" w:type="dxa"/>
            <w:noWrap w:val="0"/>
            <w:vAlign w:val="center"/>
          </w:tcPr>
          <w:p>
            <w:pPr>
              <w:widowControl/>
              <w:jc w:val="center"/>
              <w:rPr>
                <w:rFonts w:hint="eastAsia" w:ascii="宋体" w:hAnsi="宋体" w:cs="宋体"/>
                <w:color w:val="auto"/>
                <w:kern w:val="0"/>
                <w:sz w:val="20"/>
                <w:szCs w:val="20"/>
              </w:rPr>
            </w:pPr>
          </w:p>
        </w:tc>
        <w:tc>
          <w:tcPr>
            <w:tcW w:w="1080" w:type="dxa"/>
            <w:noWrap w:val="0"/>
            <w:vAlign w:val="center"/>
          </w:tcPr>
          <w:p>
            <w:pPr>
              <w:widowControl/>
              <w:jc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15" w:type="dxa"/>
            <w:vMerge w:val="continue"/>
            <w:noWrap w:val="0"/>
            <w:vAlign w:val="center"/>
          </w:tcPr>
          <w:p>
            <w:pPr>
              <w:widowControl/>
              <w:jc w:val="left"/>
              <w:rPr>
                <w:rFonts w:ascii="宋体" w:hAnsi="宋体" w:cs="宋体"/>
                <w:color w:val="auto"/>
                <w:kern w:val="0"/>
                <w:sz w:val="20"/>
                <w:szCs w:val="20"/>
              </w:rPr>
            </w:pP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continue"/>
            <w:noWrap w:val="0"/>
            <w:vAlign w:val="center"/>
          </w:tcPr>
          <w:p>
            <w:pPr>
              <w:widowControl/>
              <w:jc w:val="center"/>
              <w:rPr>
                <w:rFonts w:ascii="宋体" w:hAnsi="宋体" w:cs="宋体"/>
                <w:color w:val="auto"/>
                <w:kern w:val="0"/>
                <w:sz w:val="20"/>
                <w:szCs w:val="20"/>
              </w:rPr>
            </w:pP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当采用两套或两套以上的独立传动系统时，每套传动系统均应具备各自独立的制动器</w:t>
            </w:r>
          </w:p>
        </w:tc>
        <w:tc>
          <w:tcPr>
            <w:tcW w:w="1230" w:type="dxa"/>
            <w:noWrap w:val="0"/>
            <w:vAlign w:val="center"/>
          </w:tcPr>
          <w:p>
            <w:pPr>
              <w:widowControl/>
              <w:jc w:val="center"/>
              <w:rPr>
                <w:rFonts w:ascii="宋体" w:hAnsi="宋体" w:cs="宋体"/>
                <w:color w:val="auto"/>
                <w:kern w:val="0"/>
                <w:sz w:val="20"/>
                <w:szCs w:val="20"/>
              </w:rPr>
            </w:pPr>
          </w:p>
        </w:tc>
        <w:tc>
          <w:tcPr>
            <w:tcW w:w="1125" w:type="dxa"/>
            <w:vMerge w:val="continue"/>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★30</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1.4.8</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手动松闸</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制动器应具有手动松闸功能，并保证手动施加的作用力一旦撤除,制动器立即恢复动作</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制动拉环固定不可靠或者缺失，整改即可，不影响吊笼正常工作</w:t>
            </w:r>
          </w:p>
        </w:tc>
        <w:tc>
          <w:tcPr>
            <w:tcW w:w="1080" w:type="dxa"/>
            <w:noWrap w:val="0"/>
            <w:vAlign w:val="center"/>
          </w:tcPr>
          <w:p>
            <w:pPr>
              <w:widowControl/>
              <w:jc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★31</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1.4.9</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溢流阀</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液压泵组应装有溢流阀,其压力应调整正确</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★32</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1.4.10</w:t>
            </w:r>
          </w:p>
          <w:p>
            <w:pPr>
              <w:widowControl/>
              <w:jc w:val="center"/>
              <w:rPr>
                <w:rFonts w:ascii="宋体" w:hAnsi="宋体" w:cs="宋体"/>
                <w:color w:val="auto"/>
                <w:kern w:val="0"/>
                <w:sz w:val="20"/>
                <w:szCs w:val="20"/>
              </w:rPr>
            </w:pPr>
            <w:r>
              <w:rPr>
                <w:rFonts w:hint="eastAsia" w:ascii="宋体" w:hAnsi="宋体" w:cs="宋体"/>
                <w:color w:val="auto"/>
                <w:kern w:val="0"/>
                <w:sz w:val="20"/>
                <w:szCs w:val="20"/>
              </w:rPr>
              <w:t>手动下降操作装置</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液压系统应设有旁通阀和制动器的手动松闸装置,使吊笼在事故状态时可以实现手动下降</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33</w:t>
            </w:r>
          </w:p>
        </w:tc>
        <w:tc>
          <w:tcPr>
            <w:tcW w:w="668"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2.1</w:t>
            </w:r>
            <w:r>
              <w:rPr>
                <w:rFonts w:hint="eastAsia" w:ascii="宋体" w:hAnsi="宋体" w:cs="宋体"/>
                <w:color w:val="auto"/>
                <w:kern w:val="0"/>
                <w:sz w:val="20"/>
                <w:szCs w:val="20"/>
              </w:rPr>
              <w:br w:type="textWrapping"/>
            </w:r>
            <w:r>
              <w:rPr>
                <w:rFonts w:hint="eastAsia" w:ascii="宋体" w:hAnsi="宋体" w:cs="宋体"/>
                <w:color w:val="auto"/>
                <w:kern w:val="0"/>
                <w:sz w:val="20"/>
                <w:szCs w:val="20"/>
              </w:rPr>
              <w:t>作业</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环境</w:t>
            </w: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2.1.1</w:t>
            </w:r>
            <w:r>
              <w:rPr>
                <w:rFonts w:hint="eastAsia" w:ascii="宋体" w:hAnsi="宋体" w:cs="宋体"/>
                <w:color w:val="auto"/>
                <w:kern w:val="0"/>
                <w:sz w:val="20"/>
                <w:szCs w:val="20"/>
              </w:rPr>
              <w:br w:type="textWrapping"/>
            </w:r>
            <w:r>
              <w:rPr>
                <w:rFonts w:hint="eastAsia" w:ascii="宋体" w:hAnsi="宋体" w:cs="宋体"/>
                <w:color w:val="auto"/>
                <w:kern w:val="0"/>
                <w:sz w:val="20"/>
                <w:szCs w:val="20"/>
              </w:rPr>
              <w:t>防护围栏</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在吊笼和对重的升降通道周围应设置地面防护围栏，防护围栏的高度不应低于1.8m</w:t>
            </w:r>
          </w:p>
        </w:tc>
        <w:tc>
          <w:tcPr>
            <w:tcW w:w="1230" w:type="dxa"/>
            <w:noWrap w:val="0"/>
            <w:vAlign w:val="center"/>
          </w:tcPr>
          <w:p>
            <w:pPr>
              <w:widowControl/>
              <w:jc w:val="center"/>
              <w:rPr>
                <w:rFonts w:ascii="宋体" w:hAnsi="宋体"/>
                <w:color w:val="auto"/>
              </w:rPr>
            </w:pPr>
          </w:p>
        </w:tc>
        <w:tc>
          <w:tcPr>
            <w:tcW w:w="1125" w:type="dxa"/>
            <w:noWrap w:val="0"/>
            <w:vAlign w:val="center"/>
          </w:tcPr>
          <w:p>
            <w:pPr>
              <w:widowControl/>
              <w:jc w:val="center"/>
              <w:rPr>
                <w:rFonts w:ascii="宋体" w:hAnsi="宋体"/>
                <w:color w:val="auto"/>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★34</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2.1.2</w:t>
            </w:r>
          </w:p>
          <w:p>
            <w:pPr>
              <w:widowControl/>
              <w:jc w:val="center"/>
              <w:rPr>
                <w:rFonts w:ascii="宋体" w:hAnsi="宋体" w:cs="宋体"/>
                <w:color w:val="auto"/>
                <w:kern w:val="0"/>
                <w:sz w:val="20"/>
                <w:szCs w:val="20"/>
              </w:rPr>
            </w:pPr>
            <w:r>
              <w:rPr>
                <w:rFonts w:hint="eastAsia" w:ascii="宋体" w:hAnsi="宋体" w:cs="宋体"/>
                <w:color w:val="auto"/>
                <w:kern w:val="0"/>
                <w:sz w:val="20"/>
                <w:szCs w:val="20"/>
              </w:rPr>
              <w:t>围栏门机电联锁</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围栏登机门应装有机械锁止装置和电气安全开关，使吊笼只有位于底部规定位置时，围栏登机门才能开启，且在门开启后吊笼不能起动</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仅仅是围栏门电气、机械联锁失效</w:t>
            </w:r>
          </w:p>
        </w:tc>
        <w:tc>
          <w:tcPr>
            <w:tcW w:w="1080" w:type="dxa"/>
            <w:noWrap w:val="0"/>
            <w:vAlign w:val="center"/>
          </w:tcPr>
          <w:p>
            <w:pPr>
              <w:widowControl/>
              <w:jc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35</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2.1.3</w:t>
            </w:r>
            <w:r>
              <w:rPr>
                <w:rFonts w:hint="eastAsia" w:ascii="宋体" w:hAnsi="宋体" w:cs="宋体"/>
                <w:color w:val="auto"/>
                <w:kern w:val="0"/>
                <w:sz w:val="20"/>
                <w:szCs w:val="20"/>
              </w:rPr>
              <w:br w:type="textWrapping"/>
            </w:r>
            <w:r>
              <w:rPr>
                <w:rFonts w:hint="eastAsia" w:ascii="宋体" w:hAnsi="宋体" w:cs="宋体"/>
                <w:color w:val="auto"/>
                <w:kern w:val="0"/>
                <w:sz w:val="20"/>
                <w:szCs w:val="20"/>
              </w:rPr>
              <w:t>防护棚</w:t>
            </w:r>
          </w:p>
        </w:tc>
        <w:tc>
          <w:tcPr>
            <w:tcW w:w="4200" w:type="dxa"/>
            <w:gridSpan w:val="7"/>
            <w:noWrap w:val="0"/>
            <w:vAlign w:val="center"/>
          </w:tcPr>
          <w:p>
            <w:pPr>
              <w:widowControl/>
              <w:spacing w:line="320" w:lineRule="exact"/>
              <w:jc w:val="left"/>
              <w:rPr>
                <w:rFonts w:ascii="宋体" w:hAnsi="宋体" w:cs="宋体"/>
                <w:color w:val="auto"/>
                <w:kern w:val="0"/>
                <w:sz w:val="20"/>
                <w:szCs w:val="20"/>
              </w:rPr>
            </w:pPr>
            <w:r>
              <w:rPr>
                <w:rFonts w:hint="eastAsia" w:ascii="宋体" w:hAnsi="宋体" w:cs="宋体"/>
                <w:color w:val="auto"/>
                <w:kern w:val="0"/>
                <w:sz w:val="20"/>
                <w:szCs w:val="20"/>
              </w:rPr>
              <w:t>施工升降机地面吊笼出入口上方应设置防护棚，防护棚顶部应采用坚实的材料，在任意0.01m</w:t>
            </w:r>
            <w:r>
              <w:rPr>
                <w:rFonts w:hint="eastAsia" w:ascii="宋体" w:hAnsi="宋体" w:cs="宋体"/>
                <w:color w:val="auto"/>
                <w:kern w:val="0"/>
                <w:sz w:val="20"/>
                <w:szCs w:val="20"/>
                <w:vertAlign w:val="superscript"/>
              </w:rPr>
              <w:t>2</w:t>
            </w:r>
            <w:r>
              <w:rPr>
                <w:rFonts w:ascii="宋体" w:hAnsi="宋体" w:cs="MingLiU_HKSCS"/>
                <w:color w:val="auto"/>
                <w:kern w:val="0"/>
                <w:sz w:val="20"/>
                <w:szCs w:val="20"/>
              </w:rPr>
              <w:t></w:t>
            </w:r>
            <w:r>
              <w:rPr>
                <w:rFonts w:hint="eastAsia" w:ascii="宋体" w:hAnsi="宋体" w:cs="宋体"/>
                <w:color w:val="auto"/>
                <w:kern w:val="0"/>
                <w:sz w:val="20"/>
                <w:szCs w:val="20"/>
              </w:rPr>
              <w:t>面积上作1.5kN的力时，不应产生永久变形。建筑物高度超过24m时，应设双层防护棚</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36</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2.1.4</w:t>
            </w:r>
            <w:r>
              <w:rPr>
                <w:rFonts w:hint="eastAsia" w:ascii="宋体" w:hAnsi="宋体" w:cs="宋体"/>
                <w:color w:val="auto"/>
                <w:kern w:val="0"/>
                <w:sz w:val="20"/>
                <w:szCs w:val="20"/>
              </w:rPr>
              <w:br w:type="textWrapping"/>
            </w:r>
            <w:r>
              <w:rPr>
                <w:rFonts w:hint="eastAsia" w:ascii="宋体" w:hAnsi="宋体" w:cs="宋体"/>
                <w:color w:val="auto"/>
                <w:kern w:val="0"/>
                <w:sz w:val="20"/>
                <w:szCs w:val="20"/>
              </w:rPr>
              <w:t>运动部件</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安全距离</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施工升降机运动部件与除登机平台以外的建筑物和固定施工设备之间的距离不应小于0.2m</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37</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2.1.5</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停层标志</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各楼层停层处应设置安全警示标志及楼层标志</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38</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2.1.6</w:t>
            </w:r>
            <w:r>
              <w:rPr>
                <w:rFonts w:hint="eastAsia" w:ascii="宋体" w:hAnsi="宋体" w:cs="宋体"/>
                <w:color w:val="auto"/>
                <w:kern w:val="0"/>
                <w:sz w:val="20"/>
                <w:szCs w:val="20"/>
              </w:rPr>
              <w:br w:type="textWrapping"/>
            </w:r>
            <w:r>
              <w:rPr>
                <w:rFonts w:hint="eastAsia" w:ascii="宋体" w:hAnsi="宋体" w:cs="宋体"/>
                <w:color w:val="auto"/>
                <w:kern w:val="0"/>
                <w:sz w:val="20"/>
                <w:szCs w:val="20"/>
              </w:rPr>
              <w:t>井道封闭</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屏障</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施工升降机安装在建筑物内部井道中间时，应在全行程范围井道四周搭设封闭屏障</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15"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★39</w:t>
            </w:r>
          </w:p>
        </w:tc>
        <w:tc>
          <w:tcPr>
            <w:tcW w:w="668" w:type="dxa"/>
            <w:vMerge w:val="restart"/>
            <w:noWrap w:val="0"/>
            <w:vAlign w:val="center"/>
          </w:tcPr>
          <w:p>
            <w:pPr>
              <w:widowControl/>
              <w:jc w:val="left"/>
              <w:rPr>
                <w:rFonts w:ascii="宋体" w:hAnsi="宋体" w:cs="宋体"/>
                <w:color w:val="auto"/>
                <w:kern w:val="0"/>
                <w:sz w:val="20"/>
                <w:szCs w:val="20"/>
              </w:rPr>
            </w:pPr>
          </w:p>
        </w:tc>
        <w:tc>
          <w:tcPr>
            <w:tcW w:w="885"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2.1.7</w:t>
            </w:r>
            <w:r>
              <w:rPr>
                <w:rFonts w:hint="eastAsia" w:ascii="宋体" w:hAnsi="宋体" w:cs="宋体"/>
                <w:color w:val="auto"/>
                <w:kern w:val="0"/>
                <w:sz w:val="20"/>
                <w:szCs w:val="20"/>
              </w:rPr>
              <w:br w:type="textWrapping"/>
            </w:r>
            <w:r>
              <w:rPr>
                <w:rFonts w:hint="eastAsia" w:ascii="宋体" w:hAnsi="宋体" w:cs="宋体"/>
                <w:color w:val="auto"/>
                <w:kern w:val="0"/>
                <w:sz w:val="20"/>
                <w:szCs w:val="20"/>
              </w:rPr>
              <w:t>与输电线</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安全距离</w:t>
            </w:r>
          </w:p>
        </w:tc>
        <w:tc>
          <w:tcPr>
            <w:tcW w:w="1589"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升降机任何部件与外电架空线路的边线之间的距离应符合右表规定，采</w:t>
            </w:r>
            <w:r>
              <w:rPr>
                <w:rFonts w:hint="eastAsia" w:ascii="宋体" w:hAnsi="宋体" w:cs="宋体"/>
                <w:color w:val="auto"/>
                <w:kern w:val="0"/>
                <w:sz w:val="20"/>
                <w:szCs w:val="20"/>
              </w:rPr>
              <w:cr/>
            </w:r>
            <w:r>
              <w:rPr>
                <w:rFonts w:hint="eastAsia" w:ascii="宋体" w:hAnsi="宋体" w:cs="宋体"/>
                <w:color w:val="auto"/>
                <w:kern w:val="0"/>
                <w:sz w:val="20"/>
                <w:szCs w:val="20"/>
              </w:rPr>
              <w:t xml:space="preserve">取安全防护措施  </w:t>
            </w:r>
          </w:p>
        </w:tc>
        <w:tc>
          <w:tcPr>
            <w:tcW w:w="1560" w:type="dxa"/>
            <w:gridSpan w:val="5"/>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线路电压 (kV)</w:t>
            </w:r>
          </w:p>
        </w:tc>
        <w:tc>
          <w:tcPr>
            <w:tcW w:w="1051"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安全距离 (m)</w:t>
            </w:r>
          </w:p>
        </w:tc>
        <w:tc>
          <w:tcPr>
            <w:tcW w:w="1230"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不能整改</w:t>
            </w:r>
          </w:p>
        </w:tc>
        <w:tc>
          <w:tcPr>
            <w:tcW w:w="1125" w:type="dxa"/>
            <w:vMerge w:val="restart"/>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可以整改</w:t>
            </w:r>
          </w:p>
        </w:tc>
        <w:tc>
          <w:tcPr>
            <w:tcW w:w="960" w:type="dxa"/>
            <w:noWrap w:val="0"/>
            <w:vAlign w:val="center"/>
          </w:tcPr>
          <w:p>
            <w:pPr>
              <w:widowControl/>
              <w:jc w:val="center"/>
              <w:rPr>
                <w:rFonts w:hint="eastAsia" w:ascii="宋体" w:hAnsi="宋体" w:cs="宋体"/>
                <w:color w:val="auto"/>
                <w:kern w:val="0"/>
                <w:sz w:val="20"/>
                <w:szCs w:val="20"/>
              </w:rPr>
            </w:pPr>
          </w:p>
        </w:tc>
        <w:tc>
          <w:tcPr>
            <w:tcW w:w="1080" w:type="dxa"/>
            <w:noWrap w:val="0"/>
            <w:vAlign w:val="center"/>
          </w:tcPr>
          <w:p>
            <w:pPr>
              <w:widowControl/>
              <w:jc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615" w:type="dxa"/>
            <w:vMerge w:val="continue"/>
            <w:noWrap w:val="0"/>
            <w:vAlign w:val="center"/>
          </w:tcPr>
          <w:p>
            <w:pPr>
              <w:widowControl/>
              <w:jc w:val="left"/>
              <w:rPr>
                <w:rFonts w:ascii="宋体" w:hAnsi="宋体" w:cs="宋体"/>
                <w:color w:val="auto"/>
                <w:kern w:val="0"/>
                <w:sz w:val="20"/>
                <w:szCs w:val="20"/>
              </w:rPr>
            </w:pP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continue"/>
            <w:noWrap w:val="0"/>
            <w:vAlign w:val="center"/>
          </w:tcPr>
          <w:p>
            <w:pPr>
              <w:widowControl/>
              <w:jc w:val="left"/>
              <w:rPr>
                <w:rFonts w:ascii="宋体" w:hAnsi="宋体" w:cs="宋体"/>
                <w:color w:val="auto"/>
                <w:kern w:val="0"/>
                <w:sz w:val="20"/>
                <w:szCs w:val="20"/>
              </w:rPr>
            </w:pPr>
          </w:p>
        </w:tc>
        <w:tc>
          <w:tcPr>
            <w:tcW w:w="1589" w:type="dxa"/>
            <w:vMerge w:val="continue"/>
            <w:noWrap w:val="0"/>
            <w:vAlign w:val="center"/>
          </w:tcPr>
          <w:p>
            <w:pPr>
              <w:widowControl/>
              <w:jc w:val="left"/>
              <w:rPr>
                <w:rFonts w:ascii="宋体" w:hAnsi="宋体" w:cs="宋体"/>
                <w:color w:val="auto"/>
                <w:kern w:val="0"/>
                <w:sz w:val="20"/>
                <w:szCs w:val="20"/>
              </w:rPr>
            </w:pPr>
          </w:p>
        </w:tc>
        <w:tc>
          <w:tcPr>
            <w:tcW w:w="1560" w:type="dxa"/>
            <w:gridSpan w:val="5"/>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w:t>
            </w:r>
          </w:p>
        </w:tc>
        <w:tc>
          <w:tcPr>
            <w:tcW w:w="1051"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w:t>
            </w:r>
          </w:p>
        </w:tc>
        <w:tc>
          <w:tcPr>
            <w:tcW w:w="1230" w:type="dxa"/>
            <w:vMerge w:val="continue"/>
            <w:noWrap w:val="0"/>
            <w:vAlign w:val="center"/>
          </w:tcPr>
          <w:p>
            <w:pPr>
              <w:widowControl/>
              <w:jc w:val="left"/>
              <w:rPr>
                <w:rFonts w:ascii="宋体" w:hAnsi="宋体" w:cs="宋体"/>
                <w:color w:val="auto"/>
                <w:kern w:val="0"/>
                <w:sz w:val="20"/>
                <w:szCs w:val="20"/>
              </w:rPr>
            </w:pPr>
          </w:p>
        </w:tc>
        <w:tc>
          <w:tcPr>
            <w:tcW w:w="1125" w:type="dxa"/>
            <w:vMerge w:val="continue"/>
            <w:noWrap w:val="0"/>
            <w:vAlign w:val="center"/>
          </w:tcPr>
          <w:p>
            <w:pPr>
              <w:widowControl/>
              <w:jc w:val="left"/>
              <w:rPr>
                <w:rFonts w:ascii="宋体" w:hAnsi="宋体" w:cs="宋体"/>
                <w:color w:val="auto"/>
                <w:kern w:val="0"/>
                <w:sz w:val="20"/>
                <w:szCs w:val="20"/>
              </w:rPr>
            </w:pPr>
          </w:p>
        </w:tc>
        <w:tc>
          <w:tcPr>
            <w:tcW w:w="960" w:type="dxa"/>
            <w:noWrap w:val="0"/>
            <w:vAlign w:val="center"/>
          </w:tcPr>
          <w:p>
            <w:pPr>
              <w:widowControl/>
              <w:jc w:val="left"/>
              <w:rPr>
                <w:rFonts w:ascii="宋体" w:hAnsi="宋体" w:cs="宋体"/>
                <w:color w:val="auto"/>
                <w:kern w:val="0"/>
                <w:sz w:val="20"/>
                <w:szCs w:val="20"/>
              </w:rPr>
            </w:pPr>
          </w:p>
        </w:tc>
        <w:tc>
          <w:tcPr>
            <w:tcW w:w="1080" w:type="dxa"/>
            <w:noWrap w:val="0"/>
            <w:vAlign w:val="center"/>
          </w:tcPr>
          <w:p>
            <w:pPr>
              <w:widowControl/>
              <w:jc w:val="left"/>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15" w:type="dxa"/>
            <w:vMerge w:val="continue"/>
            <w:noWrap w:val="0"/>
            <w:vAlign w:val="center"/>
          </w:tcPr>
          <w:p>
            <w:pPr>
              <w:widowControl/>
              <w:jc w:val="left"/>
              <w:rPr>
                <w:rFonts w:ascii="宋体" w:hAnsi="宋体" w:cs="宋体"/>
                <w:color w:val="auto"/>
                <w:kern w:val="0"/>
                <w:sz w:val="20"/>
                <w:szCs w:val="20"/>
              </w:rPr>
            </w:pP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continue"/>
            <w:noWrap w:val="0"/>
            <w:vAlign w:val="center"/>
          </w:tcPr>
          <w:p>
            <w:pPr>
              <w:widowControl/>
              <w:jc w:val="left"/>
              <w:rPr>
                <w:rFonts w:ascii="宋体" w:hAnsi="宋体" w:cs="宋体"/>
                <w:color w:val="auto"/>
                <w:kern w:val="0"/>
                <w:sz w:val="20"/>
                <w:szCs w:val="20"/>
              </w:rPr>
            </w:pPr>
          </w:p>
        </w:tc>
        <w:tc>
          <w:tcPr>
            <w:tcW w:w="1589" w:type="dxa"/>
            <w:vMerge w:val="continue"/>
            <w:noWrap w:val="0"/>
            <w:vAlign w:val="center"/>
          </w:tcPr>
          <w:p>
            <w:pPr>
              <w:widowControl/>
              <w:jc w:val="left"/>
              <w:rPr>
                <w:rFonts w:ascii="宋体" w:hAnsi="宋体" w:cs="宋体"/>
                <w:color w:val="auto"/>
                <w:kern w:val="0"/>
                <w:sz w:val="20"/>
                <w:szCs w:val="20"/>
              </w:rPr>
            </w:pPr>
          </w:p>
        </w:tc>
        <w:tc>
          <w:tcPr>
            <w:tcW w:w="1560" w:type="dxa"/>
            <w:gridSpan w:val="5"/>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1～10</w:t>
            </w:r>
          </w:p>
        </w:tc>
        <w:tc>
          <w:tcPr>
            <w:tcW w:w="1051"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w:t>
            </w:r>
          </w:p>
        </w:tc>
        <w:tc>
          <w:tcPr>
            <w:tcW w:w="1230" w:type="dxa"/>
            <w:vMerge w:val="continue"/>
            <w:noWrap w:val="0"/>
            <w:vAlign w:val="center"/>
          </w:tcPr>
          <w:p>
            <w:pPr>
              <w:widowControl/>
              <w:jc w:val="left"/>
              <w:rPr>
                <w:rFonts w:ascii="宋体" w:hAnsi="宋体" w:cs="宋体"/>
                <w:color w:val="auto"/>
                <w:kern w:val="0"/>
                <w:sz w:val="20"/>
                <w:szCs w:val="20"/>
              </w:rPr>
            </w:pPr>
          </w:p>
        </w:tc>
        <w:tc>
          <w:tcPr>
            <w:tcW w:w="1125" w:type="dxa"/>
            <w:vMerge w:val="continue"/>
            <w:noWrap w:val="0"/>
            <w:vAlign w:val="center"/>
          </w:tcPr>
          <w:p>
            <w:pPr>
              <w:widowControl/>
              <w:jc w:val="left"/>
              <w:rPr>
                <w:rFonts w:ascii="宋体" w:hAnsi="宋体" w:cs="宋体"/>
                <w:color w:val="auto"/>
                <w:kern w:val="0"/>
                <w:sz w:val="20"/>
                <w:szCs w:val="20"/>
              </w:rPr>
            </w:pPr>
          </w:p>
        </w:tc>
        <w:tc>
          <w:tcPr>
            <w:tcW w:w="960" w:type="dxa"/>
            <w:noWrap w:val="0"/>
            <w:vAlign w:val="center"/>
          </w:tcPr>
          <w:p>
            <w:pPr>
              <w:widowControl/>
              <w:jc w:val="left"/>
              <w:rPr>
                <w:rFonts w:ascii="宋体" w:hAnsi="宋体" w:cs="宋体"/>
                <w:color w:val="auto"/>
                <w:kern w:val="0"/>
                <w:sz w:val="20"/>
                <w:szCs w:val="20"/>
              </w:rPr>
            </w:pPr>
          </w:p>
        </w:tc>
        <w:tc>
          <w:tcPr>
            <w:tcW w:w="1080" w:type="dxa"/>
            <w:noWrap w:val="0"/>
            <w:vAlign w:val="center"/>
          </w:tcPr>
          <w:p>
            <w:pPr>
              <w:widowControl/>
              <w:jc w:val="left"/>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15" w:type="dxa"/>
            <w:vMerge w:val="continue"/>
            <w:noWrap w:val="0"/>
            <w:vAlign w:val="center"/>
          </w:tcPr>
          <w:p>
            <w:pPr>
              <w:widowControl/>
              <w:jc w:val="left"/>
              <w:rPr>
                <w:rFonts w:ascii="宋体" w:hAnsi="宋体" w:cs="宋体"/>
                <w:color w:val="auto"/>
                <w:kern w:val="0"/>
                <w:sz w:val="20"/>
                <w:szCs w:val="20"/>
              </w:rPr>
            </w:pP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continue"/>
            <w:noWrap w:val="0"/>
            <w:vAlign w:val="center"/>
          </w:tcPr>
          <w:p>
            <w:pPr>
              <w:widowControl/>
              <w:jc w:val="left"/>
              <w:rPr>
                <w:rFonts w:ascii="宋体" w:hAnsi="宋体" w:cs="宋体"/>
                <w:color w:val="auto"/>
                <w:kern w:val="0"/>
                <w:sz w:val="20"/>
                <w:szCs w:val="20"/>
              </w:rPr>
            </w:pPr>
          </w:p>
        </w:tc>
        <w:tc>
          <w:tcPr>
            <w:tcW w:w="1589" w:type="dxa"/>
            <w:vMerge w:val="continue"/>
            <w:noWrap w:val="0"/>
            <w:vAlign w:val="center"/>
          </w:tcPr>
          <w:p>
            <w:pPr>
              <w:widowControl/>
              <w:jc w:val="left"/>
              <w:rPr>
                <w:rFonts w:ascii="宋体" w:hAnsi="宋体" w:cs="宋体"/>
                <w:color w:val="auto"/>
                <w:kern w:val="0"/>
                <w:sz w:val="20"/>
                <w:szCs w:val="20"/>
              </w:rPr>
            </w:pPr>
          </w:p>
        </w:tc>
        <w:tc>
          <w:tcPr>
            <w:tcW w:w="1560" w:type="dxa"/>
            <w:gridSpan w:val="5"/>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35～110</w:t>
            </w:r>
          </w:p>
        </w:tc>
        <w:tc>
          <w:tcPr>
            <w:tcW w:w="1051"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≥8</w:t>
            </w:r>
          </w:p>
        </w:tc>
        <w:tc>
          <w:tcPr>
            <w:tcW w:w="1230" w:type="dxa"/>
            <w:vMerge w:val="continue"/>
            <w:noWrap w:val="0"/>
            <w:vAlign w:val="center"/>
          </w:tcPr>
          <w:p>
            <w:pPr>
              <w:widowControl/>
              <w:jc w:val="left"/>
              <w:rPr>
                <w:rFonts w:ascii="宋体" w:hAnsi="宋体" w:cs="宋体"/>
                <w:color w:val="auto"/>
                <w:kern w:val="0"/>
                <w:sz w:val="20"/>
                <w:szCs w:val="20"/>
              </w:rPr>
            </w:pPr>
          </w:p>
        </w:tc>
        <w:tc>
          <w:tcPr>
            <w:tcW w:w="1125" w:type="dxa"/>
            <w:vMerge w:val="continue"/>
            <w:noWrap w:val="0"/>
            <w:vAlign w:val="center"/>
          </w:tcPr>
          <w:p>
            <w:pPr>
              <w:widowControl/>
              <w:jc w:val="left"/>
              <w:rPr>
                <w:rFonts w:ascii="宋体" w:hAnsi="宋体" w:cs="宋体"/>
                <w:color w:val="auto"/>
                <w:kern w:val="0"/>
                <w:sz w:val="20"/>
                <w:szCs w:val="20"/>
              </w:rPr>
            </w:pPr>
          </w:p>
        </w:tc>
        <w:tc>
          <w:tcPr>
            <w:tcW w:w="960" w:type="dxa"/>
            <w:noWrap w:val="0"/>
            <w:vAlign w:val="center"/>
          </w:tcPr>
          <w:p>
            <w:pPr>
              <w:widowControl/>
              <w:jc w:val="left"/>
              <w:rPr>
                <w:rFonts w:ascii="宋体" w:hAnsi="宋体" w:cs="宋体"/>
                <w:color w:val="auto"/>
                <w:kern w:val="0"/>
                <w:sz w:val="20"/>
                <w:szCs w:val="20"/>
              </w:rPr>
            </w:pPr>
          </w:p>
        </w:tc>
        <w:tc>
          <w:tcPr>
            <w:tcW w:w="1080" w:type="dxa"/>
            <w:noWrap w:val="0"/>
            <w:vAlign w:val="center"/>
          </w:tcPr>
          <w:p>
            <w:pPr>
              <w:widowControl/>
              <w:jc w:val="left"/>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615" w:type="dxa"/>
            <w:vMerge w:val="continue"/>
            <w:noWrap w:val="0"/>
            <w:vAlign w:val="center"/>
          </w:tcPr>
          <w:p>
            <w:pPr>
              <w:widowControl/>
              <w:jc w:val="left"/>
              <w:rPr>
                <w:rFonts w:ascii="宋体" w:hAnsi="宋体" w:cs="宋体"/>
                <w:color w:val="auto"/>
                <w:kern w:val="0"/>
                <w:sz w:val="20"/>
                <w:szCs w:val="20"/>
              </w:rPr>
            </w:pP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continue"/>
            <w:noWrap w:val="0"/>
            <w:vAlign w:val="center"/>
          </w:tcPr>
          <w:p>
            <w:pPr>
              <w:widowControl/>
              <w:jc w:val="left"/>
              <w:rPr>
                <w:rFonts w:ascii="宋体" w:hAnsi="宋体" w:cs="宋体"/>
                <w:color w:val="auto"/>
                <w:kern w:val="0"/>
                <w:sz w:val="20"/>
                <w:szCs w:val="20"/>
              </w:rPr>
            </w:pPr>
          </w:p>
        </w:tc>
        <w:tc>
          <w:tcPr>
            <w:tcW w:w="1589" w:type="dxa"/>
            <w:vMerge w:val="continue"/>
            <w:noWrap w:val="0"/>
            <w:vAlign w:val="center"/>
          </w:tcPr>
          <w:p>
            <w:pPr>
              <w:widowControl/>
              <w:jc w:val="left"/>
              <w:rPr>
                <w:rFonts w:ascii="宋体" w:hAnsi="宋体" w:cs="宋体"/>
                <w:color w:val="auto"/>
                <w:kern w:val="0"/>
                <w:sz w:val="20"/>
                <w:szCs w:val="20"/>
              </w:rPr>
            </w:pPr>
          </w:p>
        </w:tc>
        <w:tc>
          <w:tcPr>
            <w:tcW w:w="1560" w:type="dxa"/>
            <w:gridSpan w:val="5"/>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220</w:t>
            </w:r>
          </w:p>
        </w:tc>
        <w:tc>
          <w:tcPr>
            <w:tcW w:w="1051"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1230" w:type="dxa"/>
            <w:vMerge w:val="continue"/>
            <w:noWrap w:val="0"/>
            <w:vAlign w:val="center"/>
          </w:tcPr>
          <w:p>
            <w:pPr>
              <w:widowControl/>
              <w:jc w:val="left"/>
              <w:rPr>
                <w:rFonts w:ascii="宋体" w:hAnsi="宋体" w:cs="宋体"/>
                <w:color w:val="auto"/>
                <w:kern w:val="0"/>
                <w:sz w:val="20"/>
                <w:szCs w:val="20"/>
              </w:rPr>
            </w:pPr>
          </w:p>
        </w:tc>
        <w:tc>
          <w:tcPr>
            <w:tcW w:w="1125" w:type="dxa"/>
            <w:vMerge w:val="continue"/>
            <w:noWrap w:val="0"/>
            <w:vAlign w:val="center"/>
          </w:tcPr>
          <w:p>
            <w:pPr>
              <w:widowControl/>
              <w:jc w:val="left"/>
              <w:rPr>
                <w:rFonts w:ascii="宋体" w:hAnsi="宋体" w:cs="宋体"/>
                <w:color w:val="auto"/>
                <w:kern w:val="0"/>
                <w:sz w:val="20"/>
                <w:szCs w:val="20"/>
              </w:rPr>
            </w:pPr>
          </w:p>
        </w:tc>
        <w:tc>
          <w:tcPr>
            <w:tcW w:w="960" w:type="dxa"/>
            <w:noWrap w:val="0"/>
            <w:vAlign w:val="center"/>
          </w:tcPr>
          <w:p>
            <w:pPr>
              <w:widowControl/>
              <w:jc w:val="left"/>
              <w:rPr>
                <w:rFonts w:ascii="宋体" w:hAnsi="宋体" w:cs="宋体"/>
                <w:color w:val="auto"/>
                <w:kern w:val="0"/>
                <w:sz w:val="20"/>
                <w:szCs w:val="20"/>
              </w:rPr>
            </w:pPr>
          </w:p>
        </w:tc>
        <w:tc>
          <w:tcPr>
            <w:tcW w:w="1080" w:type="dxa"/>
            <w:noWrap w:val="0"/>
            <w:vAlign w:val="center"/>
          </w:tcPr>
          <w:p>
            <w:pPr>
              <w:widowControl/>
              <w:jc w:val="left"/>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15" w:type="dxa"/>
            <w:vMerge w:val="continue"/>
            <w:noWrap w:val="0"/>
            <w:vAlign w:val="center"/>
          </w:tcPr>
          <w:p>
            <w:pPr>
              <w:widowControl/>
              <w:jc w:val="left"/>
              <w:rPr>
                <w:rFonts w:ascii="宋体" w:hAnsi="宋体" w:cs="宋体"/>
                <w:color w:val="auto"/>
                <w:kern w:val="0"/>
                <w:sz w:val="20"/>
                <w:szCs w:val="20"/>
              </w:rPr>
            </w:pP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continue"/>
            <w:noWrap w:val="0"/>
            <w:vAlign w:val="center"/>
          </w:tcPr>
          <w:p>
            <w:pPr>
              <w:widowControl/>
              <w:jc w:val="left"/>
              <w:rPr>
                <w:rFonts w:ascii="宋体" w:hAnsi="宋体" w:cs="宋体"/>
                <w:color w:val="auto"/>
                <w:kern w:val="0"/>
                <w:sz w:val="20"/>
                <w:szCs w:val="20"/>
              </w:rPr>
            </w:pPr>
          </w:p>
        </w:tc>
        <w:tc>
          <w:tcPr>
            <w:tcW w:w="1589" w:type="dxa"/>
            <w:vMerge w:val="continue"/>
            <w:noWrap w:val="0"/>
            <w:vAlign w:val="center"/>
          </w:tcPr>
          <w:p>
            <w:pPr>
              <w:widowControl/>
              <w:jc w:val="left"/>
              <w:rPr>
                <w:rFonts w:ascii="宋体" w:hAnsi="宋体" w:cs="宋体"/>
                <w:color w:val="auto"/>
                <w:kern w:val="0"/>
                <w:sz w:val="20"/>
                <w:szCs w:val="20"/>
              </w:rPr>
            </w:pPr>
          </w:p>
        </w:tc>
        <w:tc>
          <w:tcPr>
            <w:tcW w:w="1560" w:type="dxa"/>
            <w:gridSpan w:val="5"/>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330～550</w:t>
            </w:r>
          </w:p>
        </w:tc>
        <w:tc>
          <w:tcPr>
            <w:tcW w:w="1051"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≥15</w:t>
            </w:r>
          </w:p>
        </w:tc>
        <w:tc>
          <w:tcPr>
            <w:tcW w:w="1230" w:type="dxa"/>
            <w:vMerge w:val="continue"/>
            <w:noWrap w:val="0"/>
            <w:vAlign w:val="center"/>
          </w:tcPr>
          <w:p>
            <w:pPr>
              <w:widowControl/>
              <w:jc w:val="left"/>
              <w:rPr>
                <w:rFonts w:ascii="宋体" w:hAnsi="宋体" w:cs="宋体"/>
                <w:color w:val="auto"/>
                <w:kern w:val="0"/>
                <w:sz w:val="20"/>
                <w:szCs w:val="20"/>
              </w:rPr>
            </w:pPr>
          </w:p>
        </w:tc>
        <w:tc>
          <w:tcPr>
            <w:tcW w:w="1125" w:type="dxa"/>
            <w:vMerge w:val="continue"/>
            <w:noWrap w:val="0"/>
            <w:vAlign w:val="center"/>
          </w:tcPr>
          <w:p>
            <w:pPr>
              <w:widowControl/>
              <w:jc w:val="left"/>
              <w:rPr>
                <w:rFonts w:ascii="宋体" w:hAnsi="宋体" w:cs="宋体"/>
                <w:color w:val="auto"/>
                <w:kern w:val="0"/>
                <w:sz w:val="20"/>
                <w:szCs w:val="20"/>
              </w:rPr>
            </w:pPr>
          </w:p>
        </w:tc>
        <w:tc>
          <w:tcPr>
            <w:tcW w:w="960" w:type="dxa"/>
            <w:noWrap w:val="0"/>
            <w:vAlign w:val="center"/>
          </w:tcPr>
          <w:p>
            <w:pPr>
              <w:widowControl/>
              <w:jc w:val="left"/>
              <w:rPr>
                <w:rFonts w:ascii="宋体" w:hAnsi="宋体" w:cs="宋体"/>
                <w:color w:val="auto"/>
                <w:kern w:val="0"/>
                <w:sz w:val="20"/>
                <w:szCs w:val="20"/>
              </w:rPr>
            </w:pPr>
          </w:p>
        </w:tc>
        <w:tc>
          <w:tcPr>
            <w:tcW w:w="1080" w:type="dxa"/>
            <w:noWrap w:val="0"/>
            <w:vAlign w:val="center"/>
          </w:tcPr>
          <w:p>
            <w:pPr>
              <w:widowControl/>
              <w:jc w:val="left"/>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40</w:t>
            </w:r>
          </w:p>
        </w:tc>
        <w:tc>
          <w:tcPr>
            <w:tcW w:w="668"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2.2</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基础</w:t>
            </w: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2.2.1</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基础方案</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使用单位应根据原制造商提供的载荷参数设计制造混凝土基础。混凝土基础应由专业工程师设计，并形成完整的方案</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★41</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2.2.2</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基础强度</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施工升降机基础的混凝土强度等级不应低于C25，并符合制造厂的要求</w:t>
            </w:r>
          </w:p>
        </w:tc>
        <w:tc>
          <w:tcPr>
            <w:tcW w:w="1230"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基础强度不符合要求</w:t>
            </w: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p>
        </w:tc>
        <w:tc>
          <w:tcPr>
            <w:tcW w:w="1080" w:type="dxa"/>
            <w:noWrap w:val="0"/>
            <w:vAlign w:val="center"/>
          </w:tcPr>
          <w:p>
            <w:pPr>
              <w:widowControl/>
              <w:jc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15"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42</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2.2.3</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基础制作</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实际制作的混凝土基础应与方案或使用说明书的规定一致</w:t>
            </w:r>
          </w:p>
        </w:tc>
        <w:tc>
          <w:tcPr>
            <w:tcW w:w="1230" w:type="dxa"/>
            <w:noWrap w:val="0"/>
            <w:vAlign w:val="center"/>
          </w:tcPr>
          <w:p>
            <w:pPr>
              <w:widowControl/>
              <w:jc w:val="center"/>
              <w:rPr>
                <w:rFonts w:ascii="宋体" w:hAnsi="宋体" w:cs="宋体"/>
                <w:color w:val="auto"/>
                <w:kern w:val="0"/>
                <w:sz w:val="20"/>
                <w:szCs w:val="20"/>
              </w:rPr>
            </w:pPr>
          </w:p>
        </w:tc>
        <w:tc>
          <w:tcPr>
            <w:tcW w:w="1125" w:type="dxa"/>
            <w:vMerge w:val="restart"/>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15" w:type="dxa"/>
            <w:vMerge w:val="continue"/>
            <w:noWrap w:val="0"/>
            <w:vAlign w:val="center"/>
          </w:tcPr>
          <w:p>
            <w:pPr>
              <w:widowControl/>
              <w:jc w:val="left"/>
              <w:rPr>
                <w:rFonts w:ascii="宋体" w:hAnsi="宋体" w:cs="宋体"/>
                <w:color w:val="auto"/>
                <w:kern w:val="0"/>
                <w:sz w:val="20"/>
                <w:szCs w:val="20"/>
              </w:rPr>
            </w:pP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continue"/>
            <w:noWrap w:val="0"/>
            <w:vAlign w:val="center"/>
          </w:tcPr>
          <w:p>
            <w:pPr>
              <w:widowControl/>
              <w:jc w:val="center"/>
              <w:rPr>
                <w:rFonts w:ascii="宋体" w:hAnsi="宋体" w:cs="宋体"/>
                <w:color w:val="auto"/>
                <w:kern w:val="0"/>
                <w:sz w:val="20"/>
                <w:szCs w:val="20"/>
              </w:rPr>
            </w:pP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基础表面平整度偏差不应大于10mm</w:t>
            </w:r>
          </w:p>
        </w:tc>
        <w:tc>
          <w:tcPr>
            <w:tcW w:w="1230" w:type="dxa"/>
            <w:noWrap w:val="0"/>
            <w:vAlign w:val="center"/>
          </w:tcPr>
          <w:p>
            <w:pPr>
              <w:widowControl/>
              <w:jc w:val="center"/>
              <w:rPr>
                <w:rFonts w:ascii="宋体" w:hAnsi="宋体" w:cs="宋体"/>
                <w:color w:val="auto"/>
                <w:kern w:val="0"/>
                <w:sz w:val="20"/>
                <w:szCs w:val="20"/>
              </w:rPr>
            </w:pPr>
          </w:p>
        </w:tc>
        <w:tc>
          <w:tcPr>
            <w:tcW w:w="1125" w:type="dxa"/>
            <w:vMerge w:val="continue"/>
            <w:noWrap w:val="0"/>
            <w:vAlign w:val="center"/>
          </w:tcPr>
          <w:p>
            <w:pPr>
              <w:widowControl/>
              <w:jc w:val="left"/>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left"/>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15" w:type="dxa"/>
            <w:vMerge w:val="continue"/>
            <w:noWrap w:val="0"/>
            <w:vAlign w:val="center"/>
          </w:tcPr>
          <w:p>
            <w:pPr>
              <w:widowControl/>
              <w:jc w:val="left"/>
              <w:rPr>
                <w:rFonts w:ascii="宋体" w:hAnsi="宋体" w:cs="宋体"/>
                <w:color w:val="auto"/>
                <w:kern w:val="0"/>
                <w:sz w:val="20"/>
                <w:szCs w:val="20"/>
              </w:rPr>
            </w:pP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continue"/>
            <w:noWrap w:val="0"/>
            <w:vAlign w:val="center"/>
          </w:tcPr>
          <w:p>
            <w:pPr>
              <w:widowControl/>
              <w:jc w:val="center"/>
              <w:rPr>
                <w:rFonts w:ascii="宋体" w:hAnsi="宋体" w:cs="宋体"/>
                <w:color w:val="auto"/>
                <w:kern w:val="0"/>
                <w:sz w:val="20"/>
                <w:szCs w:val="20"/>
              </w:rPr>
            </w:pP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基础应有排水措施，保证基础不积水</w:t>
            </w:r>
          </w:p>
        </w:tc>
        <w:tc>
          <w:tcPr>
            <w:tcW w:w="1230" w:type="dxa"/>
            <w:noWrap w:val="0"/>
            <w:vAlign w:val="center"/>
          </w:tcPr>
          <w:p>
            <w:pPr>
              <w:widowControl/>
              <w:jc w:val="center"/>
              <w:rPr>
                <w:rFonts w:ascii="宋体" w:hAnsi="宋体" w:cs="宋体"/>
                <w:color w:val="auto"/>
                <w:kern w:val="0"/>
                <w:sz w:val="20"/>
                <w:szCs w:val="20"/>
              </w:rPr>
            </w:pPr>
          </w:p>
        </w:tc>
        <w:tc>
          <w:tcPr>
            <w:tcW w:w="1125" w:type="dxa"/>
            <w:vMerge w:val="continue"/>
            <w:noWrap w:val="0"/>
            <w:vAlign w:val="center"/>
          </w:tcPr>
          <w:p>
            <w:pPr>
              <w:widowControl/>
              <w:jc w:val="left"/>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left"/>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15"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43</w:t>
            </w:r>
          </w:p>
        </w:tc>
        <w:tc>
          <w:tcPr>
            <w:tcW w:w="668"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2.3</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结构件安装与连接</w:t>
            </w:r>
          </w:p>
        </w:tc>
        <w:tc>
          <w:tcPr>
            <w:tcW w:w="885"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2.3.1</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垂直度偏差</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对钢丝绳式施工升降机，导轨架轴心线对底座水平基准面的垂直度偏差不应大于导轨架高度的1.5‰</w:t>
            </w:r>
          </w:p>
        </w:tc>
        <w:tc>
          <w:tcPr>
            <w:tcW w:w="1230" w:type="dxa"/>
            <w:noWrap w:val="0"/>
            <w:vAlign w:val="center"/>
          </w:tcPr>
          <w:p>
            <w:pPr>
              <w:widowControl/>
              <w:jc w:val="center"/>
              <w:rPr>
                <w:rFonts w:ascii="宋体" w:hAnsi="宋体" w:cs="宋体"/>
                <w:color w:val="auto"/>
                <w:kern w:val="0"/>
                <w:sz w:val="20"/>
                <w:szCs w:val="20"/>
              </w:rPr>
            </w:pPr>
          </w:p>
        </w:tc>
        <w:tc>
          <w:tcPr>
            <w:tcW w:w="1125" w:type="dxa"/>
            <w:vMerge w:val="restart"/>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15" w:type="dxa"/>
            <w:vMerge w:val="continue"/>
            <w:noWrap w:val="0"/>
            <w:vAlign w:val="center"/>
          </w:tcPr>
          <w:p>
            <w:pPr>
              <w:widowControl/>
              <w:jc w:val="left"/>
              <w:rPr>
                <w:rFonts w:ascii="宋体" w:hAnsi="宋体" w:cs="宋体"/>
                <w:color w:val="auto"/>
                <w:kern w:val="0"/>
                <w:sz w:val="20"/>
                <w:szCs w:val="20"/>
              </w:rPr>
            </w:pP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continue"/>
            <w:noWrap w:val="0"/>
            <w:vAlign w:val="center"/>
          </w:tcPr>
          <w:p>
            <w:pPr>
              <w:widowControl/>
              <w:jc w:val="center"/>
              <w:rPr>
                <w:rFonts w:ascii="宋体" w:hAnsi="宋体" w:cs="宋体"/>
                <w:color w:val="auto"/>
                <w:kern w:val="0"/>
                <w:sz w:val="20"/>
                <w:szCs w:val="20"/>
              </w:rPr>
            </w:pPr>
          </w:p>
        </w:tc>
        <w:tc>
          <w:tcPr>
            <w:tcW w:w="1635" w:type="dxa"/>
            <w:gridSpan w:val="2"/>
            <w:vMerge w:val="restart"/>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对齿轮齿条式施工升降机，导轨架轴心线对底座水平基准面的垂直度偏差应符合右表的规定</w:t>
            </w:r>
          </w:p>
        </w:tc>
        <w:tc>
          <w:tcPr>
            <w:tcW w:w="1365" w:type="dxa"/>
            <w:gridSpan w:val="2"/>
            <w:noWrap w:val="0"/>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导轨架高度，</w:t>
            </w:r>
          </w:p>
          <w:p>
            <w:pPr>
              <w:widowControl/>
              <w:ind w:firstLine="200" w:firstLineChars="100"/>
              <w:rPr>
                <w:rFonts w:ascii="宋体" w:hAnsi="宋体" w:cs="宋体"/>
                <w:color w:val="auto"/>
                <w:kern w:val="0"/>
                <w:sz w:val="20"/>
                <w:szCs w:val="20"/>
              </w:rPr>
            </w:pPr>
            <w:r>
              <w:rPr>
                <w:rFonts w:hint="eastAsia" w:ascii="宋体" w:hAnsi="宋体" w:cs="宋体"/>
                <w:color w:val="auto"/>
                <w:kern w:val="0"/>
                <w:sz w:val="20"/>
                <w:szCs w:val="20"/>
              </w:rPr>
              <w:t>h（m）</w:t>
            </w:r>
          </w:p>
        </w:tc>
        <w:tc>
          <w:tcPr>
            <w:tcW w:w="1200" w:type="dxa"/>
            <w:gridSpan w:val="3"/>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垂直度偏差(mm)</w:t>
            </w:r>
          </w:p>
        </w:tc>
        <w:tc>
          <w:tcPr>
            <w:tcW w:w="1230" w:type="dxa"/>
            <w:noWrap w:val="0"/>
            <w:vAlign w:val="center"/>
          </w:tcPr>
          <w:p>
            <w:pPr>
              <w:widowControl/>
              <w:jc w:val="center"/>
              <w:rPr>
                <w:rFonts w:hint="eastAsia" w:ascii="宋体" w:hAnsi="宋体" w:cs="宋体"/>
                <w:color w:val="auto"/>
                <w:kern w:val="0"/>
                <w:sz w:val="20"/>
                <w:szCs w:val="20"/>
              </w:rPr>
            </w:pPr>
          </w:p>
        </w:tc>
        <w:tc>
          <w:tcPr>
            <w:tcW w:w="1125" w:type="dxa"/>
            <w:vMerge w:val="continue"/>
            <w:noWrap w:val="0"/>
            <w:vAlign w:val="center"/>
          </w:tcPr>
          <w:p>
            <w:pPr>
              <w:widowControl/>
              <w:jc w:val="left"/>
              <w:rPr>
                <w:rFonts w:ascii="宋体" w:hAnsi="宋体" w:cs="宋体"/>
                <w:color w:val="auto"/>
                <w:kern w:val="0"/>
                <w:sz w:val="20"/>
                <w:szCs w:val="20"/>
              </w:rPr>
            </w:pPr>
          </w:p>
        </w:tc>
        <w:tc>
          <w:tcPr>
            <w:tcW w:w="960" w:type="dxa"/>
            <w:noWrap w:val="0"/>
            <w:vAlign w:val="center"/>
          </w:tcPr>
          <w:p>
            <w:pPr>
              <w:widowControl/>
              <w:jc w:val="left"/>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left"/>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15" w:type="dxa"/>
            <w:vMerge w:val="continue"/>
            <w:noWrap w:val="0"/>
            <w:vAlign w:val="center"/>
          </w:tcPr>
          <w:p>
            <w:pPr>
              <w:widowControl/>
              <w:jc w:val="left"/>
              <w:rPr>
                <w:rFonts w:ascii="宋体" w:hAnsi="宋体" w:cs="宋体"/>
                <w:color w:val="auto"/>
                <w:kern w:val="0"/>
                <w:sz w:val="20"/>
                <w:szCs w:val="20"/>
              </w:rPr>
            </w:pP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continue"/>
            <w:noWrap w:val="0"/>
            <w:vAlign w:val="center"/>
          </w:tcPr>
          <w:p>
            <w:pPr>
              <w:widowControl/>
              <w:jc w:val="center"/>
              <w:rPr>
                <w:rFonts w:ascii="宋体" w:hAnsi="宋体" w:cs="宋体"/>
                <w:color w:val="auto"/>
                <w:kern w:val="0"/>
                <w:sz w:val="20"/>
                <w:szCs w:val="20"/>
              </w:rPr>
            </w:pPr>
          </w:p>
        </w:tc>
        <w:tc>
          <w:tcPr>
            <w:tcW w:w="1635" w:type="dxa"/>
            <w:gridSpan w:val="2"/>
            <w:vMerge w:val="continue"/>
            <w:noWrap w:val="0"/>
            <w:vAlign w:val="center"/>
          </w:tcPr>
          <w:p>
            <w:pPr>
              <w:widowControl/>
              <w:jc w:val="left"/>
              <w:rPr>
                <w:rFonts w:ascii="宋体" w:hAnsi="宋体" w:cs="宋体"/>
                <w:color w:val="auto"/>
                <w:kern w:val="0"/>
                <w:sz w:val="20"/>
                <w:szCs w:val="20"/>
              </w:rPr>
            </w:pPr>
          </w:p>
        </w:tc>
        <w:tc>
          <w:tcPr>
            <w:tcW w:w="1365" w:type="dxa"/>
            <w:gridSpan w:val="2"/>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h≤70</w:t>
            </w:r>
          </w:p>
        </w:tc>
        <w:tc>
          <w:tcPr>
            <w:tcW w:w="1200" w:type="dxa"/>
            <w:gridSpan w:val="3"/>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≤h‰</w:t>
            </w:r>
          </w:p>
        </w:tc>
        <w:tc>
          <w:tcPr>
            <w:tcW w:w="1230" w:type="dxa"/>
            <w:noWrap w:val="0"/>
            <w:vAlign w:val="center"/>
          </w:tcPr>
          <w:p>
            <w:pPr>
              <w:widowControl/>
              <w:jc w:val="center"/>
              <w:rPr>
                <w:rFonts w:ascii="宋体" w:hAnsi="宋体" w:cs="宋体"/>
                <w:color w:val="auto"/>
                <w:kern w:val="0"/>
                <w:sz w:val="20"/>
                <w:szCs w:val="20"/>
              </w:rPr>
            </w:pPr>
          </w:p>
        </w:tc>
        <w:tc>
          <w:tcPr>
            <w:tcW w:w="1125" w:type="dxa"/>
            <w:vMerge w:val="continue"/>
            <w:noWrap w:val="0"/>
            <w:vAlign w:val="center"/>
          </w:tcPr>
          <w:p>
            <w:pPr>
              <w:widowControl/>
              <w:jc w:val="left"/>
              <w:rPr>
                <w:rFonts w:ascii="宋体" w:hAnsi="宋体" w:cs="宋体"/>
                <w:color w:val="auto"/>
                <w:kern w:val="0"/>
                <w:sz w:val="20"/>
                <w:szCs w:val="20"/>
              </w:rPr>
            </w:pPr>
          </w:p>
        </w:tc>
        <w:tc>
          <w:tcPr>
            <w:tcW w:w="960" w:type="dxa"/>
            <w:noWrap w:val="0"/>
            <w:vAlign w:val="center"/>
          </w:tcPr>
          <w:p>
            <w:pPr>
              <w:widowControl/>
              <w:jc w:val="left"/>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left"/>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15" w:type="dxa"/>
            <w:vMerge w:val="continue"/>
            <w:noWrap w:val="0"/>
            <w:vAlign w:val="center"/>
          </w:tcPr>
          <w:p>
            <w:pPr>
              <w:widowControl/>
              <w:jc w:val="left"/>
              <w:rPr>
                <w:rFonts w:ascii="宋体" w:hAnsi="宋体" w:cs="宋体"/>
                <w:color w:val="auto"/>
                <w:kern w:val="0"/>
                <w:sz w:val="20"/>
                <w:szCs w:val="20"/>
              </w:rPr>
            </w:pP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continue"/>
            <w:noWrap w:val="0"/>
            <w:vAlign w:val="center"/>
          </w:tcPr>
          <w:p>
            <w:pPr>
              <w:widowControl/>
              <w:jc w:val="center"/>
              <w:rPr>
                <w:rFonts w:ascii="宋体" w:hAnsi="宋体" w:cs="宋体"/>
                <w:color w:val="auto"/>
                <w:kern w:val="0"/>
                <w:sz w:val="20"/>
                <w:szCs w:val="20"/>
              </w:rPr>
            </w:pPr>
          </w:p>
        </w:tc>
        <w:tc>
          <w:tcPr>
            <w:tcW w:w="1635" w:type="dxa"/>
            <w:gridSpan w:val="2"/>
            <w:vMerge w:val="continue"/>
            <w:noWrap w:val="0"/>
            <w:vAlign w:val="center"/>
          </w:tcPr>
          <w:p>
            <w:pPr>
              <w:widowControl/>
              <w:jc w:val="left"/>
              <w:rPr>
                <w:rFonts w:ascii="宋体" w:hAnsi="宋体" w:cs="宋体"/>
                <w:color w:val="auto"/>
                <w:kern w:val="0"/>
                <w:sz w:val="20"/>
                <w:szCs w:val="20"/>
              </w:rPr>
            </w:pPr>
          </w:p>
        </w:tc>
        <w:tc>
          <w:tcPr>
            <w:tcW w:w="1365" w:type="dxa"/>
            <w:gridSpan w:val="2"/>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70＜h≤100</w:t>
            </w:r>
          </w:p>
        </w:tc>
        <w:tc>
          <w:tcPr>
            <w:tcW w:w="1200" w:type="dxa"/>
            <w:gridSpan w:val="3"/>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xml:space="preserve"> ≤70</w:t>
            </w:r>
          </w:p>
        </w:tc>
        <w:tc>
          <w:tcPr>
            <w:tcW w:w="1230" w:type="dxa"/>
            <w:noWrap w:val="0"/>
            <w:vAlign w:val="center"/>
          </w:tcPr>
          <w:p>
            <w:pPr>
              <w:widowControl/>
              <w:jc w:val="center"/>
              <w:rPr>
                <w:rFonts w:ascii="宋体" w:hAnsi="宋体" w:cs="宋体"/>
                <w:color w:val="auto"/>
                <w:kern w:val="0"/>
                <w:sz w:val="20"/>
                <w:szCs w:val="20"/>
              </w:rPr>
            </w:pPr>
          </w:p>
        </w:tc>
        <w:tc>
          <w:tcPr>
            <w:tcW w:w="1125" w:type="dxa"/>
            <w:vMerge w:val="continue"/>
            <w:noWrap w:val="0"/>
            <w:vAlign w:val="center"/>
          </w:tcPr>
          <w:p>
            <w:pPr>
              <w:widowControl/>
              <w:jc w:val="left"/>
              <w:rPr>
                <w:rFonts w:ascii="宋体" w:hAnsi="宋体" w:cs="宋体"/>
                <w:color w:val="auto"/>
                <w:kern w:val="0"/>
                <w:sz w:val="20"/>
                <w:szCs w:val="20"/>
              </w:rPr>
            </w:pPr>
          </w:p>
        </w:tc>
        <w:tc>
          <w:tcPr>
            <w:tcW w:w="960" w:type="dxa"/>
            <w:noWrap w:val="0"/>
            <w:vAlign w:val="center"/>
          </w:tcPr>
          <w:p>
            <w:pPr>
              <w:widowControl/>
              <w:jc w:val="left"/>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left"/>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615" w:type="dxa"/>
            <w:vMerge w:val="continue"/>
            <w:noWrap w:val="0"/>
            <w:vAlign w:val="center"/>
          </w:tcPr>
          <w:p>
            <w:pPr>
              <w:widowControl/>
              <w:jc w:val="left"/>
              <w:rPr>
                <w:rFonts w:ascii="宋体" w:hAnsi="宋体" w:cs="宋体"/>
                <w:color w:val="auto"/>
                <w:kern w:val="0"/>
                <w:sz w:val="20"/>
                <w:szCs w:val="20"/>
              </w:rPr>
            </w:pP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continue"/>
            <w:noWrap w:val="0"/>
            <w:vAlign w:val="center"/>
          </w:tcPr>
          <w:p>
            <w:pPr>
              <w:widowControl/>
              <w:jc w:val="center"/>
              <w:rPr>
                <w:rFonts w:ascii="宋体" w:hAnsi="宋体" w:cs="宋体"/>
                <w:color w:val="auto"/>
                <w:kern w:val="0"/>
                <w:sz w:val="20"/>
                <w:szCs w:val="20"/>
              </w:rPr>
            </w:pPr>
          </w:p>
        </w:tc>
        <w:tc>
          <w:tcPr>
            <w:tcW w:w="1635" w:type="dxa"/>
            <w:gridSpan w:val="2"/>
            <w:vMerge w:val="continue"/>
            <w:noWrap w:val="0"/>
            <w:vAlign w:val="center"/>
          </w:tcPr>
          <w:p>
            <w:pPr>
              <w:widowControl/>
              <w:jc w:val="left"/>
              <w:rPr>
                <w:rFonts w:ascii="宋体" w:hAnsi="宋体" w:cs="宋体"/>
                <w:color w:val="auto"/>
                <w:kern w:val="0"/>
                <w:sz w:val="20"/>
                <w:szCs w:val="20"/>
              </w:rPr>
            </w:pPr>
          </w:p>
        </w:tc>
        <w:tc>
          <w:tcPr>
            <w:tcW w:w="1365" w:type="dxa"/>
            <w:gridSpan w:val="2"/>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100＜h≤150</w:t>
            </w:r>
          </w:p>
        </w:tc>
        <w:tc>
          <w:tcPr>
            <w:tcW w:w="1200" w:type="dxa"/>
            <w:gridSpan w:val="3"/>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xml:space="preserve"> ≤90</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left"/>
              <w:rPr>
                <w:rFonts w:ascii="宋体" w:hAnsi="宋体" w:cs="宋体"/>
                <w:color w:val="auto"/>
                <w:kern w:val="0"/>
                <w:sz w:val="20"/>
                <w:szCs w:val="20"/>
              </w:rPr>
            </w:pPr>
          </w:p>
        </w:tc>
        <w:tc>
          <w:tcPr>
            <w:tcW w:w="960" w:type="dxa"/>
            <w:noWrap w:val="0"/>
            <w:vAlign w:val="center"/>
          </w:tcPr>
          <w:p>
            <w:pPr>
              <w:widowControl/>
              <w:jc w:val="left"/>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left"/>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615" w:type="dxa"/>
            <w:vMerge w:val="continue"/>
            <w:noWrap w:val="0"/>
            <w:vAlign w:val="center"/>
          </w:tcPr>
          <w:p>
            <w:pPr>
              <w:widowControl/>
              <w:jc w:val="left"/>
              <w:rPr>
                <w:rFonts w:ascii="宋体" w:hAnsi="宋体" w:cs="宋体"/>
                <w:color w:val="auto"/>
                <w:kern w:val="0"/>
                <w:sz w:val="20"/>
                <w:szCs w:val="20"/>
              </w:rPr>
            </w:pP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continue"/>
            <w:noWrap w:val="0"/>
            <w:vAlign w:val="center"/>
          </w:tcPr>
          <w:p>
            <w:pPr>
              <w:widowControl/>
              <w:jc w:val="center"/>
              <w:rPr>
                <w:rFonts w:ascii="宋体" w:hAnsi="宋体" w:cs="宋体"/>
                <w:color w:val="auto"/>
                <w:kern w:val="0"/>
                <w:sz w:val="20"/>
                <w:szCs w:val="20"/>
              </w:rPr>
            </w:pPr>
          </w:p>
        </w:tc>
        <w:tc>
          <w:tcPr>
            <w:tcW w:w="1635" w:type="dxa"/>
            <w:gridSpan w:val="2"/>
            <w:vMerge w:val="continue"/>
            <w:noWrap w:val="0"/>
            <w:vAlign w:val="center"/>
          </w:tcPr>
          <w:p>
            <w:pPr>
              <w:widowControl/>
              <w:jc w:val="left"/>
              <w:rPr>
                <w:rFonts w:ascii="宋体" w:hAnsi="宋体" w:cs="宋体"/>
                <w:color w:val="auto"/>
                <w:kern w:val="0"/>
                <w:sz w:val="20"/>
                <w:szCs w:val="20"/>
              </w:rPr>
            </w:pPr>
          </w:p>
        </w:tc>
        <w:tc>
          <w:tcPr>
            <w:tcW w:w="1365" w:type="dxa"/>
            <w:gridSpan w:val="2"/>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150＜h≤200</w:t>
            </w:r>
          </w:p>
        </w:tc>
        <w:tc>
          <w:tcPr>
            <w:tcW w:w="1200" w:type="dxa"/>
            <w:gridSpan w:val="3"/>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xml:space="preserve"> ≤110</w:t>
            </w:r>
          </w:p>
        </w:tc>
        <w:tc>
          <w:tcPr>
            <w:tcW w:w="1230" w:type="dxa"/>
            <w:noWrap w:val="0"/>
            <w:vAlign w:val="center"/>
          </w:tcPr>
          <w:p>
            <w:pPr>
              <w:jc w:val="center"/>
              <w:rPr>
                <w:rFonts w:ascii="宋体" w:hAnsi="宋体"/>
                <w:color w:val="auto"/>
              </w:rPr>
            </w:pPr>
          </w:p>
        </w:tc>
        <w:tc>
          <w:tcPr>
            <w:tcW w:w="1125" w:type="dxa"/>
            <w:vMerge w:val="restart"/>
            <w:noWrap w:val="0"/>
            <w:vAlign w:val="center"/>
          </w:tcPr>
          <w:p>
            <w:pPr>
              <w:widowControl/>
              <w:jc w:val="left"/>
              <w:rPr>
                <w:rFonts w:ascii="宋体" w:hAnsi="宋体" w:cs="宋体"/>
                <w:color w:val="auto"/>
                <w:kern w:val="0"/>
                <w:sz w:val="20"/>
                <w:szCs w:val="20"/>
              </w:rPr>
            </w:pPr>
          </w:p>
        </w:tc>
        <w:tc>
          <w:tcPr>
            <w:tcW w:w="960" w:type="dxa"/>
            <w:noWrap w:val="0"/>
            <w:vAlign w:val="center"/>
          </w:tcPr>
          <w:p>
            <w:pPr>
              <w:widowControl/>
              <w:jc w:val="left"/>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left"/>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615" w:type="dxa"/>
            <w:vMerge w:val="continue"/>
            <w:noWrap w:val="0"/>
            <w:vAlign w:val="center"/>
          </w:tcPr>
          <w:p>
            <w:pPr>
              <w:widowControl/>
              <w:jc w:val="left"/>
              <w:rPr>
                <w:rFonts w:ascii="宋体" w:hAnsi="宋体" w:cs="宋体"/>
                <w:color w:val="auto"/>
                <w:kern w:val="0"/>
                <w:sz w:val="20"/>
                <w:szCs w:val="20"/>
              </w:rPr>
            </w:pP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continue"/>
            <w:noWrap w:val="0"/>
            <w:vAlign w:val="center"/>
          </w:tcPr>
          <w:p>
            <w:pPr>
              <w:widowControl/>
              <w:jc w:val="center"/>
              <w:rPr>
                <w:rFonts w:ascii="宋体" w:hAnsi="宋体" w:cs="宋体"/>
                <w:color w:val="auto"/>
                <w:kern w:val="0"/>
                <w:sz w:val="20"/>
                <w:szCs w:val="20"/>
              </w:rPr>
            </w:pPr>
          </w:p>
        </w:tc>
        <w:tc>
          <w:tcPr>
            <w:tcW w:w="1635" w:type="dxa"/>
            <w:gridSpan w:val="2"/>
            <w:vMerge w:val="continue"/>
            <w:noWrap w:val="0"/>
            <w:vAlign w:val="center"/>
          </w:tcPr>
          <w:p>
            <w:pPr>
              <w:widowControl/>
              <w:jc w:val="left"/>
              <w:rPr>
                <w:rFonts w:ascii="宋体" w:hAnsi="宋体" w:cs="宋体"/>
                <w:color w:val="auto"/>
                <w:kern w:val="0"/>
                <w:sz w:val="20"/>
                <w:szCs w:val="20"/>
              </w:rPr>
            </w:pPr>
          </w:p>
        </w:tc>
        <w:tc>
          <w:tcPr>
            <w:tcW w:w="1365" w:type="dxa"/>
            <w:gridSpan w:val="2"/>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h＞200</w:t>
            </w:r>
          </w:p>
        </w:tc>
        <w:tc>
          <w:tcPr>
            <w:tcW w:w="1200" w:type="dxa"/>
            <w:gridSpan w:val="3"/>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xml:space="preserve"> ≤130</w:t>
            </w:r>
          </w:p>
        </w:tc>
        <w:tc>
          <w:tcPr>
            <w:tcW w:w="1230" w:type="dxa"/>
            <w:noWrap w:val="0"/>
            <w:vAlign w:val="center"/>
          </w:tcPr>
          <w:p>
            <w:pPr>
              <w:jc w:val="center"/>
              <w:rPr>
                <w:rFonts w:ascii="宋体" w:hAnsi="宋体"/>
                <w:color w:val="auto"/>
              </w:rPr>
            </w:pPr>
          </w:p>
        </w:tc>
        <w:tc>
          <w:tcPr>
            <w:tcW w:w="1125" w:type="dxa"/>
            <w:vMerge w:val="continue"/>
            <w:noWrap w:val="0"/>
            <w:vAlign w:val="center"/>
          </w:tcPr>
          <w:p>
            <w:pPr>
              <w:widowControl/>
              <w:jc w:val="left"/>
              <w:rPr>
                <w:rFonts w:ascii="宋体" w:hAnsi="宋体" w:cs="宋体"/>
                <w:color w:val="auto"/>
                <w:kern w:val="0"/>
                <w:sz w:val="20"/>
                <w:szCs w:val="20"/>
              </w:rPr>
            </w:pPr>
          </w:p>
        </w:tc>
        <w:tc>
          <w:tcPr>
            <w:tcW w:w="960" w:type="dxa"/>
            <w:noWrap w:val="0"/>
            <w:vAlign w:val="center"/>
          </w:tcPr>
          <w:p>
            <w:pPr>
              <w:widowControl/>
              <w:jc w:val="left"/>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left"/>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15"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44</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2.3.2</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导轨阶差</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对齿轮齿条式施工升降机，相邻标准节的立柱结合面对接应平直，导轨接点相互错位形成的阶差应满足：吊笼导轨不大于0.8mm；对重导轨不大于0.5mm</w:t>
            </w:r>
          </w:p>
        </w:tc>
        <w:tc>
          <w:tcPr>
            <w:tcW w:w="1230" w:type="dxa"/>
            <w:noWrap w:val="0"/>
            <w:vAlign w:val="center"/>
          </w:tcPr>
          <w:p>
            <w:pPr>
              <w:widowControl/>
              <w:jc w:val="center"/>
              <w:rPr>
                <w:rFonts w:ascii="宋体" w:hAnsi="宋体" w:cs="宋体"/>
                <w:color w:val="auto"/>
                <w:kern w:val="0"/>
                <w:sz w:val="20"/>
                <w:szCs w:val="20"/>
              </w:rPr>
            </w:pPr>
          </w:p>
        </w:tc>
        <w:tc>
          <w:tcPr>
            <w:tcW w:w="1125" w:type="dxa"/>
            <w:vMerge w:val="restart"/>
            <w:noWrap w:val="0"/>
            <w:vAlign w:val="center"/>
          </w:tcPr>
          <w:p>
            <w:pPr>
              <w:jc w:val="center"/>
              <w:rPr>
                <w:rFonts w:ascii="宋体" w:hAnsi="宋体" w:cs="宋体"/>
                <w:color w:val="auto"/>
                <w:kern w:val="0"/>
                <w:sz w:val="20"/>
                <w:szCs w:val="20"/>
              </w:rPr>
            </w:pPr>
          </w:p>
        </w:tc>
        <w:tc>
          <w:tcPr>
            <w:tcW w:w="960" w:type="dxa"/>
            <w:noWrap w:val="0"/>
            <w:vAlign w:val="center"/>
          </w:tcPr>
          <w:p>
            <w:pPr>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center"/>
          </w:tcPr>
          <w:p>
            <w:pPr>
              <w:jc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15" w:type="dxa"/>
            <w:vMerge w:val="continue"/>
            <w:noWrap w:val="0"/>
            <w:vAlign w:val="center"/>
          </w:tcPr>
          <w:p>
            <w:pPr>
              <w:widowControl/>
              <w:jc w:val="left"/>
              <w:rPr>
                <w:rFonts w:ascii="宋体" w:hAnsi="宋体" w:cs="宋体"/>
                <w:color w:val="auto"/>
                <w:kern w:val="0"/>
                <w:sz w:val="20"/>
                <w:szCs w:val="20"/>
              </w:rPr>
            </w:pP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continue"/>
            <w:noWrap w:val="0"/>
            <w:vAlign w:val="center"/>
          </w:tcPr>
          <w:p>
            <w:pPr>
              <w:widowControl/>
              <w:jc w:val="center"/>
              <w:rPr>
                <w:rFonts w:ascii="宋体" w:hAnsi="宋体" w:cs="宋体"/>
                <w:color w:val="auto"/>
                <w:kern w:val="0"/>
                <w:sz w:val="20"/>
                <w:szCs w:val="20"/>
              </w:rPr>
            </w:pP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对钢丝绳式施工升降机，导轨接点截面相互错位形成的阶差应不大于1.5mm</w:t>
            </w:r>
          </w:p>
        </w:tc>
        <w:tc>
          <w:tcPr>
            <w:tcW w:w="1230" w:type="dxa"/>
            <w:noWrap w:val="0"/>
            <w:vAlign w:val="center"/>
          </w:tcPr>
          <w:p>
            <w:pPr>
              <w:widowControl/>
              <w:jc w:val="center"/>
              <w:rPr>
                <w:rFonts w:ascii="宋体" w:hAnsi="宋体" w:cs="宋体"/>
                <w:color w:val="auto"/>
                <w:kern w:val="0"/>
                <w:sz w:val="20"/>
                <w:szCs w:val="20"/>
              </w:rPr>
            </w:pPr>
          </w:p>
        </w:tc>
        <w:tc>
          <w:tcPr>
            <w:tcW w:w="1125" w:type="dxa"/>
            <w:vMerge w:val="continue"/>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★45</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2.3.3</w:t>
            </w:r>
            <w:r>
              <w:rPr>
                <w:rFonts w:hint="eastAsia" w:ascii="宋体" w:hAnsi="宋体" w:cs="宋体"/>
                <w:color w:val="auto"/>
                <w:kern w:val="0"/>
                <w:sz w:val="20"/>
                <w:szCs w:val="20"/>
              </w:rPr>
              <w:br w:type="textWrapping"/>
            </w:r>
            <w:r>
              <w:rPr>
                <w:rFonts w:hint="eastAsia" w:ascii="宋体" w:hAnsi="宋体" w:cs="宋体"/>
                <w:color w:val="auto"/>
                <w:kern w:val="0"/>
                <w:sz w:val="20"/>
                <w:szCs w:val="20"/>
              </w:rPr>
              <w:t>销轴连接</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结构件安装连接采用销轴时，其规格及数量应符合使用说明书或设计的要求。销轴不得有缺件、可见裂纹、严重磨损等缺陷，其轴向定位装置应规范、可靠</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结构件连接销轴存在裂纹，严重磨损，缺开口销</w:t>
            </w:r>
          </w:p>
        </w:tc>
        <w:tc>
          <w:tcPr>
            <w:tcW w:w="1080" w:type="dxa"/>
            <w:noWrap w:val="0"/>
            <w:vAlign w:val="center"/>
          </w:tcPr>
          <w:p>
            <w:pPr>
              <w:widowControl/>
              <w:jc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★46</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2.3.4</w:t>
            </w:r>
            <w:r>
              <w:rPr>
                <w:rFonts w:hint="eastAsia" w:ascii="宋体" w:hAnsi="宋体" w:cs="宋体"/>
                <w:color w:val="auto"/>
                <w:kern w:val="0"/>
                <w:sz w:val="20"/>
                <w:szCs w:val="20"/>
              </w:rPr>
              <w:br w:type="textWrapping"/>
            </w:r>
            <w:r>
              <w:rPr>
                <w:rFonts w:hint="eastAsia" w:ascii="宋体" w:hAnsi="宋体" w:cs="宋体"/>
                <w:color w:val="auto"/>
                <w:kern w:val="0"/>
                <w:sz w:val="20"/>
                <w:szCs w:val="20"/>
              </w:rPr>
              <w:t>高强度</w:t>
            </w:r>
            <w:r>
              <w:rPr>
                <w:rFonts w:hint="eastAsia" w:ascii="宋体" w:hAnsi="宋体" w:cs="宋体"/>
                <w:color w:val="auto"/>
                <w:kern w:val="0"/>
                <w:sz w:val="20"/>
                <w:szCs w:val="20"/>
              </w:rPr>
              <w:br w:type="textWrapping"/>
            </w:r>
            <w:r>
              <w:rPr>
                <w:rFonts w:hint="eastAsia" w:ascii="宋体" w:hAnsi="宋体" w:cs="宋体"/>
                <w:color w:val="auto"/>
                <w:kern w:val="0"/>
                <w:sz w:val="20"/>
                <w:szCs w:val="20"/>
              </w:rPr>
              <w:t>螺栓连接</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传动系统、导轨架、附墙架、对重系统、齿条、安全钩及吊杆底座等部位的安装连接应采用高强度螺栓，其性能等级不应低于8.8级，并有相应的性能等级标志。所用高强度螺栓的型号、规格及数量应符合使用说明书的要求，且无缺件、损坏等缺陷。高强度螺栓连接时，应用双螺母或采取其它能防止螺母松动的有效措施，并用扭矩扳手或专用扳手按装配技术要求拧紧，螺杆螺纹部分应露出1～3扣</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螺栓无高强度标识，无防松措施，长度不足，或者高强度螺栓缺失的</w:t>
            </w:r>
          </w:p>
        </w:tc>
        <w:tc>
          <w:tcPr>
            <w:tcW w:w="1080" w:type="dxa"/>
            <w:noWrap w:val="0"/>
            <w:vAlign w:val="center"/>
          </w:tcPr>
          <w:p>
            <w:pPr>
              <w:widowControl/>
              <w:jc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47</w:t>
            </w:r>
          </w:p>
        </w:tc>
        <w:tc>
          <w:tcPr>
            <w:tcW w:w="668"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2.3</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结构</w:t>
            </w:r>
            <w:r>
              <w:rPr>
                <w:rFonts w:hint="eastAsia" w:ascii="宋体" w:hAnsi="宋体" w:cs="宋体"/>
                <w:color w:val="auto"/>
                <w:kern w:val="0"/>
                <w:sz w:val="20"/>
                <w:szCs w:val="20"/>
              </w:rPr>
              <w:br w:type="textWrapping"/>
            </w:r>
            <w:r>
              <w:rPr>
                <w:rFonts w:hint="eastAsia" w:ascii="宋体" w:hAnsi="宋体" w:cs="宋体"/>
                <w:color w:val="auto"/>
                <w:kern w:val="0"/>
                <w:sz w:val="20"/>
                <w:szCs w:val="20"/>
              </w:rPr>
              <w:t>件安</w:t>
            </w:r>
            <w:r>
              <w:rPr>
                <w:rFonts w:hint="eastAsia" w:ascii="宋体" w:hAnsi="宋体" w:cs="宋体"/>
                <w:color w:val="auto"/>
                <w:kern w:val="0"/>
                <w:sz w:val="20"/>
                <w:szCs w:val="20"/>
              </w:rPr>
              <w:br w:type="textWrapping"/>
            </w:r>
            <w:r>
              <w:rPr>
                <w:rFonts w:hint="eastAsia" w:ascii="宋体" w:hAnsi="宋体" w:cs="宋体"/>
                <w:color w:val="auto"/>
                <w:kern w:val="0"/>
                <w:sz w:val="20"/>
                <w:szCs w:val="20"/>
              </w:rPr>
              <w:t>装与</w:t>
            </w:r>
            <w:r>
              <w:rPr>
                <w:rFonts w:hint="eastAsia" w:ascii="宋体" w:hAnsi="宋体" w:cs="宋体"/>
                <w:color w:val="auto"/>
                <w:kern w:val="0"/>
                <w:sz w:val="20"/>
                <w:szCs w:val="20"/>
              </w:rPr>
              <w:br w:type="textWrapping"/>
            </w:r>
            <w:r>
              <w:rPr>
                <w:rFonts w:hint="eastAsia" w:ascii="宋体" w:hAnsi="宋体" w:cs="宋体"/>
                <w:color w:val="auto"/>
                <w:kern w:val="0"/>
                <w:sz w:val="20"/>
                <w:szCs w:val="20"/>
              </w:rPr>
              <w:t>连接</w:t>
            </w:r>
          </w:p>
        </w:tc>
        <w:tc>
          <w:tcPr>
            <w:tcW w:w="885" w:type="dxa"/>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2.3.5</w:t>
            </w:r>
          </w:p>
          <w:p>
            <w:pPr>
              <w:widowControl/>
              <w:jc w:val="center"/>
              <w:rPr>
                <w:rFonts w:ascii="宋体" w:hAnsi="宋体" w:cs="宋体"/>
                <w:color w:val="auto"/>
                <w:kern w:val="0"/>
                <w:sz w:val="20"/>
                <w:szCs w:val="20"/>
              </w:rPr>
            </w:pPr>
            <w:r>
              <w:rPr>
                <w:rFonts w:hint="eastAsia" w:ascii="宋体" w:hAnsi="宋体" w:cs="宋体"/>
                <w:color w:val="auto"/>
                <w:kern w:val="0"/>
                <w:sz w:val="20"/>
                <w:szCs w:val="20"/>
              </w:rPr>
              <w:t>普通螺栓连接</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结构件连接采用普通螺栓时，其规格、型号及数量应符合施工降机使用说明书或设计方案的要求，且无缺件、损坏等缺陷</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5"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★48</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restart"/>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2.3.6</w:t>
            </w:r>
          </w:p>
          <w:p>
            <w:pPr>
              <w:widowControl/>
              <w:jc w:val="center"/>
              <w:rPr>
                <w:rFonts w:ascii="宋体" w:hAnsi="宋体" w:cs="宋体"/>
                <w:color w:val="auto"/>
                <w:kern w:val="0"/>
                <w:sz w:val="20"/>
                <w:szCs w:val="20"/>
              </w:rPr>
            </w:pPr>
            <w:r>
              <w:rPr>
                <w:rFonts w:hint="eastAsia" w:ascii="宋体" w:hAnsi="宋体" w:cs="宋体"/>
                <w:color w:val="auto"/>
                <w:kern w:val="0"/>
                <w:sz w:val="20"/>
                <w:szCs w:val="20"/>
              </w:rPr>
              <w:t>安装高度</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升降机导轨架的安装高度超过设计的最大独立高度时，必须安装附墙架</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超过设计的最大独立高度未安装附墙架</w:t>
            </w:r>
          </w:p>
        </w:tc>
        <w:tc>
          <w:tcPr>
            <w:tcW w:w="960" w:type="dxa"/>
            <w:noWrap w:val="0"/>
            <w:vAlign w:val="center"/>
          </w:tcPr>
          <w:p>
            <w:pPr>
              <w:widowControl/>
              <w:jc w:val="center"/>
              <w:rPr>
                <w:rFonts w:hint="eastAsia" w:ascii="宋体" w:hAnsi="宋体" w:cs="宋体"/>
                <w:color w:val="auto"/>
                <w:kern w:val="0"/>
                <w:sz w:val="20"/>
                <w:szCs w:val="20"/>
              </w:rPr>
            </w:pPr>
          </w:p>
        </w:tc>
        <w:tc>
          <w:tcPr>
            <w:tcW w:w="1080" w:type="dxa"/>
            <w:noWrap w:val="0"/>
            <w:vAlign w:val="center"/>
          </w:tcPr>
          <w:p>
            <w:pPr>
              <w:widowControl/>
              <w:jc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15" w:type="dxa"/>
            <w:vMerge w:val="continue"/>
            <w:noWrap w:val="0"/>
            <w:vAlign w:val="center"/>
          </w:tcPr>
          <w:p>
            <w:pPr>
              <w:widowControl/>
              <w:jc w:val="left"/>
              <w:rPr>
                <w:rFonts w:ascii="宋体" w:hAnsi="宋体" w:cs="宋体"/>
                <w:color w:val="auto"/>
                <w:kern w:val="0"/>
                <w:sz w:val="20"/>
                <w:szCs w:val="20"/>
              </w:rPr>
            </w:pP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continue"/>
            <w:noWrap w:val="0"/>
            <w:vAlign w:val="center"/>
          </w:tcPr>
          <w:p>
            <w:pPr>
              <w:widowControl/>
              <w:jc w:val="center"/>
              <w:rPr>
                <w:rFonts w:ascii="宋体" w:hAnsi="宋体" w:cs="宋体"/>
                <w:color w:val="auto"/>
                <w:kern w:val="0"/>
                <w:sz w:val="20"/>
                <w:szCs w:val="20"/>
              </w:rPr>
            </w:pP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升降机导轨架的实际安装高度不得超过设计规定的最大高度</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超过设计的高度</w:t>
            </w:r>
          </w:p>
        </w:tc>
        <w:tc>
          <w:tcPr>
            <w:tcW w:w="960" w:type="dxa"/>
            <w:noWrap w:val="0"/>
            <w:vAlign w:val="center"/>
          </w:tcPr>
          <w:p>
            <w:pPr>
              <w:widowControl/>
              <w:jc w:val="left"/>
              <w:rPr>
                <w:rFonts w:ascii="宋体" w:hAnsi="宋体" w:cs="宋体"/>
                <w:color w:val="auto"/>
                <w:kern w:val="0"/>
                <w:sz w:val="20"/>
                <w:szCs w:val="20"/>
              </w:rPr>
            </w:pPr>
          </w:p>
        </w:tc>
        <w:tc>
          <w:tcPr>
            <w:tcW w:w="1080" w:type="dxa"/>
            <w:noWrap w:val="0"/>
            <w:vAlign w:val="center"/>
          </w:tcPr>
          <w:p>
            <w:pPr>
              <w:widowControl/>
              <w:jc w:val="left"/>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★49</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2.3.7</w:t>
            </w:r>
          </w:p>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附着装置</w:t>
            </w:r>
          </w:p>
          <w:p>
            <w:pPr>
              <w:widowControl/>
              <w:jc w:val="center"/>
              <w:rPr>
                <w:rFonts w:ascii="宋体" w:hAnsi="宋体" w:cs="宋体"/>
                <w:color w:val="auto"/>
                <w:kern w:val="0"/>
                <w:sz w:val="20"/>
                <w:szCs w:val="20"/>
              </w:rPr>
            </w:pPr>
            <w:r>
              <w:rPr>
                <w:rFonts w:hint="eastAsia" w:ascii="宋体" w:hAnsi="宋体" w:cs="宋体"/>
                <w:color w:val="auto"/>
                <w:kern w:val="0"/>
                <w:sz w:val="20"/>
                <w:szCs w:val="20"/>
              </w:rPr>
              <w:t>证明</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在施工升降机上安装的附墙架应有原制造厂的制造证明。特殊情况，需要另行制造时，应有专业制造厂出具的制造证明，且其资质等级不应低于原制造厂</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未按厂家使用说明书要求设置附墙架，现场未能提供厂的相关技术证明资料的</w:t>
            </w: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按厂家使用说明书要求设置附墙架，现场未提供合格证的，补充完善即可</w:t>
            </w:r>
          </w:p>
        </w:tc>
        <w:tc>
          <w:tcPr>
            <w:tcW w:w="1080" w:type="dxa"/>
            <w:noWrap w:val="0"/>
            <w:vAlign w:val="center"/>
          </w:tcPr>
          <w:p>
            <w:pPr>
              <w:widowControl/>
              <w:jc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★50</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2.3.8</w:t>
            </w:r>
          </w:p>
          <w:p>
            <w:pPr>
              <w:widowControl/>
              <w:jc w:val="center"/>
              <w:rPr>
                <w:rFonts w:ascii="宋体" w:hAnsi="宋体" w:cs="宋体"/>
                <w:color w:val="auto"/>
                <w:kern w:val="0"/>
                <w:sz w:val="20"/>
                <w:szCs w:val="20"/>
              </w:rPr>
            </w:pPr>
            <w:r>
              <w:rPr>
                <w:rFonts w:hint="eastAsia" w:ascii="宋体" w:hAnsi="宋体" w:cs="宋体"/>
                <w:color w:val="auto"/>
                <w:kern w:val="0"/>
                <w:sz w:val="20"/>
                <w:szCs w:val="20"/>
              </w:rPr>
              <w:t>附着装置安装连接</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附墙架与导轨架标准节和附着物的安装连接必须安全可靠，各连接件如螺栓、销轴等必须齐全，不应缺件或松动。与附墙架相连接的附着物不应有裂纹或损坏。附墙架与附着物之间不得采用膨胀螺栓连接</w:t>
            </w:r>
          </w:p>
        </w:tc>
        <w:tc>
          <w:tcPr>
            <w:tcW w:w="1230" w:type="dxa"/>
            <w:noWrap w:val="0"/>
            <w:vAlign w:val="center"/>
          </w:tcPr>
          <w:p>
            <w:pPr>
              <w:jc w:val="center"/>
              <w:rPr>
                <w:rFonts w:ascii="宋体" w:hAnsi="宋体"/>
                <w:color w:val="auto"/>
              </w:rPr>
            </w:pPr>
          </w:p>
        </w:tc>
        <w:tc>
          <w:tcPr>
            <w:tcW w:w="1125" w:type="dxa"/>
            <w:noWrap w:val="0"/>
            <w:vAlign w:val="center"/>
          </w:tcPr>
          <w:p>
            <w:pPr>
              <w:jc w:val="center"/>
              <w:rPr>
                <w:rFonts w:ascii="宋体" w:hAnsi="宋体"/>
                <w:color w:val="auto"/>
              </w:rPr>
            </w:pPr>
            <w:r>
              <w:rPr>
                <w:rFonts w:hint="eastAsia" w:ascii="宋体" w:hAnsi="宋体"/>
                <w:color w:val="auto"/>
              </w:rPr>
              <w:t>附着装置多种样式，结构尺寸不一致，无厂家认可资料，附着装置与塔身建筑物连接不可靠，内撑杆未安装能整改的</w:t>
            </w:r>
          </w:p>
        </w:tc>
        <w:tc>
          <w:tcPr>
            <w:tcW w:w="960" w:type="dxa"/>
            <w:noWrap w:val="0"/>
            <w:vAlign w:val="center"/>
          </w:tcPr>
          <w:p>
            <w:pPr>
              <w:jc w:val="center"/>
              <w:rPr>
                <w:rFonts w:hint="eastAsia" w:ascii="宋体" w:hAnsi="宋体"/>
                <w:color w:val="auto"/>
              </w:rPr>
            </w:pPr>
            <w:r>
              <w:rPr>
                <w:rFonts w:hint="eastAsia" w:ascii="宋体" w:hAnsi="宋体"/>
                <w:color w:val="auto"/>
              </w:rPr>
              <w:t>附着装置样式、结构尺寸一致的，仅仅是个别螺栓不够长，无标识、微小塑性变型</w:t>
            </w:r>
          </w:p>
        </w:tc>
        <w:tc>
          <w:tcPr>
            <w:tcW w:w="1080" w:type="dxa"/>
            <w:noWrap w:val="0"/>
            <w:vAlign w:val="center"/>
          </w:tcPr>
          <w:p>
            <w:pPr>
              <w:widowControl/>
              <w:jc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★51</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2.3.9</w:t>
            </w:r>
          </w:p>
          <w:p>
            <w:pPr>
              <w:widowControl/>
              <w:jc w:val="center"/>
              <w:rPr>
                <w:rFonts w:ascii="宋体" w:hAnsi="宋体" w:cs="宋体"/>
                <w:color w:val="auto"/>
                <w:kern w:val="0"/>
                <w:sz w:val="20"/>
                <w:szCs w:val="20"/>
              </w:rPr>
            </w:pPr>
            <w:r>
              <w:rPr>
                <w:rFonts w:hint="eastAsia" w:ascii="宋体" w:hAnsi="宋体" w:cs="宋体"/>
                <w:color w:val="auto"/>
                <w:kern w:val="0"/>
                <w:sz w:val="20"/>
                <w:szCs w:val="20"/>
              </w:rPr>
              <w:t>附着尺寸参数</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导轨架顶端自由高度、最低附着点高度、两相邻附着点间的距离、附着距离均应符合使用说明书的规定。否则必须提供经原制造厂(或专业制造厂)认可的专项方案</w:t>
            </w:r>
          </w:p>
        </w:tc>
        <w:tc>
          <w:tcPr>
            <w:tcW w:w="1230" w:type="dxa"/>
            <w:noWrap w:val="0"/>
            <w:vAlign w:val="center"/>
          </w:tcPr>
          <w:p>
            <w:pPr>
              <w:jc w:val="center"/>
              <w:rPr>
                <w:rFonts w:ascii="宋体" w:hAnsi="宋体"/>
                <w:color w:val="auto"/>
              </w:rPr>
            </w:pPr>
          </w:p>
        </w:tc>
        <w:tc>
          <w:tcPr>
            <w:tcW w:w="1125" w:type="dxa"/>
            <w:noWrap w:val="0"/>
            <w:vAlign w:val="center"/>
          </w:tcPr>
          <w:p>
            <w:pPr>
              <w:jc w:val="center"/>
              <w:rPr>
                <w:rFonts w:ascii="宋体" w:hAnsi="宋体"/>
                <w:color w:val="auto"/>
              </w:rPr>
            </w:pPr>
            <w:r>
              <w:rPr>
                <w:rFonts w:hint="eastAsia" w:ascii="宋体" w:hAnsi="宋体"/>
                <w:color w:val="auto"/>
              </w:rPr>
              <w:t>附着尺寸参数不符合使用说明书规定的，未经原制造厂或（专业制造厂）认可的</w:t>
            </w:r>
          </w:p>
        </w:tc>
        <w:tc>
          <w:tcPr>
            <w:tcW w:w="960" w:type="dxa"/>
            <w:noWrap w:val="0"/>
            <w:vAlign w:val="center"/>
          </w:tcPr>
          <w:p>
            <w:pPr>
              <w:jc w:val="center"/>
              <w:rPr>
                <w:rFonts w:ascii="宋体" w:hAnsi="宋体"/>
                <w:color w:val="auto"/>
              </w:rPr>
            </w:pPr>
          </w:p>
        </w:tc>
        <w:tc>
          <w:tcPr>
            <w:tcW w:w="1080" w:type="dxa"/>
            <w:noWrap w:val="0"/>
            <w:vAlign w:val="center"/>
          </w:tcPr>
          <w:p>
            <w:pPr>
              <w:widowControl/>
              <w:jc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52</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2.3.10</w:t>
            </w:r>
            <w:r>
              <w:rPr>
                <w:rFonts w:hint="eastAsia" w:ascii="宋体" w:hAnsi="宋体" w:cs="宋体"/>
                <w:color w:val="auto"/>
                <w:kern w:val="0"/>
                <w:sz w:val="20"/>
                <w:szCs w:val="20"/>
              </w:rPr>
              <w:br w:type="textWrapping"/>
            </w:r>
            <w:r>
              <w:rPr>
                <w:rFonts w:hint="eastAsia" w:ascii="宋体" w:hAnsi="宋体" w:cs="宋体"/>
                <w:color w:val="auto"/>
                <w:kern w:val="0"/>
                <w:sz w:val="20"/>
                <w:szCs w:val="20"/>
              </w:rPr>
              <w:t>附墙架</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倾斜角</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附墙架撑杆平面与附着面的法向夹角不应大于8°</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olor w:val="auto"/>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15"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★53</w:t>
            </w:r>
          </w:p>
        </w:tc>
        <w:tc>
          <w:tcPr>
            <w:tcW w:w="668"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2.4</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停层与吊笼及对重</w:t>
            </w:r>
          </w:p>
        </w:tc>
        <w:tc>
          <w:tcPr>
            <w:tcW w:w="885"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2.4.1</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层门设置</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施工升降机各停层处应设置层门，层门应不能向吊笼运行通道一侧开启，层门不应突出到吊笼的升降通道上</w:t>
            </w:r>
          </w:p>
        </w:tc>
        <w:tc>
          <w:tcPr>
            <w:tcW w:w="1230" w:type="dxa"/>
            <w:noWrap w:val="0"/>
            <w:vAlign w:val="center"/>
          </w:tcPr>
          <w:p>
            <w:pPr>
              <w:widowControl/>
              <w:jc w:val="center"/>
              <w:rPr>
                <w:rFonts w:ascii="宋体" w:hAnsi="宋体" w:cs="宋体"/>
                <w:color w:val="auto"/>
                <w:kern w:val="0"/>
                <w:sz w:val="20"/>
                <w:szCs w:val="20"/>
              </w:rPr>
            </w:pPr>
          </w:p>
        </w:tc>
        <w:tc>
          <w:tcPr>
            <w:tcW w:w="1125" w:type="dxa"/>
            <w:vMerge w:val="restart"/>
            <w:noWrap w:val="0"/>
            <w:vAlign w:val="center"/>
          </w:tcPr>
          <w:p>
            <w:pPr>
              <w:widowControl/>
              <w:jc w:val="center"/>
              <w:rPr>
                <w:rFonts w:ascii="宋体" w:hAnsi="宋体" w:cs="宋体"/>
                <w:color w:val="auto"/>
                <w:kern w:val="0"/>
                <w:sz w:val="20"/>
                <w:szCs w:val="20"/>
              </w:rPr>
            </w:pPr>
          </w:p>
        </w:tc>
        <w:tc>
          <w:tcPr>
            <w:tcW w:w="960" w:type="dxa"/>
            <w:vMerge w:val="restart"/>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层门破损、突出吊笼运行通道，锁紧装置失效等</w:t>
            </w:r>
          </w:p>
        </w:tc>
        <w:tc>
          <w:tcPr>
            <w:tcW w:w="1080" w:type="dxa"/>
            <w:noWrap w:val="0"/>
            <w:vAlign w:val="center"/>
          </w:tcPr>
          <w:p>
            <w:pPr>
              <w:widowControl/>
              <w:jc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15" w:type="dxa"/>
            <w:vMerge w:val="continue"/>
            <w:noWrap w:val="0"/>
            <w:vAlign w:val="center"/>
          </w:tcPr>
          <w:p>
            <w:pPr>
              <w:widowControl/>
              <w:jc w:val="left"/>
              <w:rPr>
                <w:rFonts w:ascii="宋体" w:hAnsi="宋体" w:cs="宋体"/>
                <w:color w:val="auto"/>
                <w:kern w:val="0"/>
                <w:sz w:val="20"/>
                <w:szCs w:val="20"/>
              </w:rPr>
            </w:pP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continue"/>
            <w:noWrap w:val="0"/>
            <w:vAlign w:val="center"/>
          </w:tcPr>
          <w:p>
            <w:pPr>
              <w:widowControl/>
              <w:jc w:val="center"/>
              <w:rPr>
                <w:rFonts w:ascii="宋体" w:hAnsi="宋体" w:cs="宋体"/>
                <w:color w:val="auto"/>
                <w:kern w:val="0"/>
                <w:sz w:val="20"/>
                <w:szCs w:val="20"/>
              </w:rPr>
            </w:pP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层门应装设机械锁止装置，层门锁止装置及其附件应安装牢固，且设在人员不易碰触之处</w:t>
            </w:r>
          </w:p>
        </w:tc>
        <w:tc>
          <w:tcPr>
            <w:tcW w:w="1230" w:type="dxa"/>
            <w:noWrap w:val="0"/>
            <w:vAlign w:val="center"/>
          </w:tcPr>
          <w:p>
            <w:pPr>
              <w:widowControl/>
              <w:jc w:val="center"/>
              <w:rPr>
                <w:rFonts w:ascii="宋体" w:hAnsi="宋体" w:cs="宋体"/>
                <w:color w:val="auto"/>
                <w:kern w:val="0"/>
                <w:sz w:val="20"/>
                <w:szCs w:val="20"/>
              </w:rPr>
            </w:pPr>
          </w:p>
        </w:tc>
        <w:tc>
          <w:tcPr>
            <w:tcW w:w="1125" w:type="dxa"/>
            <w:vMerge w:val="continue"/>
            <w:noWrap w:val="0"/>
            <w:vAlign w:val="center"/>
          </w:tcPr>
          <w:p>
            <w:pPr>
              <w:widowControl/>
              <w:jc w:val="left"/>
              <w:rPr>
                <w:rFonts w:ascii="宋体" w:hAnsi="宋体" w:cs="宋体"/>
                <w:color w:val="auto"/>
                <w:kern w:val="0"/>
                <w:sz w:val="20"/>
                <w:szCs w:val="20"/>
              </w:rPr>
            </w:pPr>
          </w:p>
        </w:tc>
        <w:tc>
          <w:tcPr>
            <w:tcW w:w="960" w:type="dxa"/>
            <w:vMerge w:val="continue"/>
            <w:noWrap w:val="0"/>
            <w:vAlign w:val="center"/>
          </w:tcPr>
          <w:p>
            <w:pPr>
              <w:widowControl/>
              <w:jc w:val="left"/>
              <w:rPr>
                <w:rFonts w:ascii="宋体" w:hAnsi="宋体" w:cs="宋体"/>
                <w:color w:val="auto"/>
                <w:kern w:val="0"/>
                <w:sz w:val="20"/>
                <w:szCs w:val="20"/>
              </w:rPr>
            </w:pPr>
          </w:p>
        </w:tc>
        <w:tc>
          <w:tcPr>
            <w:tcW w:w="1080" w:type="dxa"/>
            <w:noWrap w:val="0"/>
            <w:vAlign w:val="center"/>
          </w:tcPr>
          <w:p>
            <w:pPr>
              <w:widowControl/>
              <w:jc w:val="left"/>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15" w:type="dxa"/>
            <w:vMerge w:val="continue"/>
            <w:noWrap w:val="0"/>
            <w:vAlign w:val="center"/>
          </w:tcPr>
          <w:p>
            <w:pPr>
              <w:widowControl/>
              <w:jc w:val="left"/>
              <w:rPr>
                <w:rFonts w:ascii="宋体" w:hAnsi="宋体" w:cs="宋体"/>
                <w:color w:val="auto"/>
                <w:kern w:val="0"/>
                <w:sz w:val="20"/>
                <w:szCs w:val="20"/>
              </w:rPr>
            </w:pP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continue"/>
            <w:noWrap w:val="0"/>
            <w:vAlign w:val="center"/>
          </w:tcPr>
          <w:p>
            <w:pPr>
              <w:widowControl/>
              <w:jc w:val="center"/>
              <w:rPr>
                <w:rFonts w:ascii="宋体" w:hAnsi="宋体" w:cs="宋体"/>
                <w:color w:val="auto"/>
                <w:kern w:val="0"/>
                <w:sz w:val="20"/>
                <w:szCs w:val="20"/>
              </w:rPr>
            </w:pP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施工升降机机械传动层门的开、关过程应由吊笼内乘员操作，不得受吊笼运动的直接控制，且在层门靠建筑物一侧的人员应不能进行层门的开、关操作</w:t>
            </w:r>
          </w:p>
        </w:tc>
        <w:tc>
          <w:tcPr>
            <w:tcW w:w="1230" w:type="dxa"/>
            <w:noWrap w:val="0"/>
            <w:vAlign w:val="center"/>
          </w:tcPr>
          <w:p>
            <w:pPr>
              <w:widowControl/>
              <w:jc w:val="center"/>
              <w:rPr>
                <w:rFonts w:ascii="宋体" w:hAnsi="宋体" w:cs="宋体"/>
                <w:color w:val="auto"/>
                <w:kern w:val="0"/>
                <w:sz w:val="20"/>
                <w:szCs w:val="20"/>
              </w:rPr>
            </w:pPr>
          </w:p>
        </w:tc>
        <w:tc>
          <w:tcPr>
            <w:tcW w:w="1125" w:type="dxa"/>
            <w:vMerge w:val="continue"/>
            <w:noWrap w:val="0"/>
            <w:vAlign w:val="center"/>
          </w:tcPr>
          <w:p>
            <w:pPr>
              <w:widowControl/>
              <w:jc w:val="left"/>
              <w:rPr>
                <w:rFonts w:ascii="宋体" w:hAnsi="宋体" w:cs="宋体"/>
                <w:color w:val="auto"/>
                <w:kern w:val="0"/>
                <w:sz w:val="20"/>
                <w:szCs w:val="20"/>
              </w:rPr>
            </w:pPr>
          </w:p>
        </w:tc>
        <w:tc>
          <w:tcPr>
            <w:tcW w:w="960" w:type="dxa"/>
            <w:vMerge w:val="continue"/>
            <w:noWrap w:val="0"/>
            <w:vAlign w:val="center"/>
          </w:tcPr>
          <w:p>
            <w:pPr>
              <w:widowControl/>
              <w:jc w:val="left"/>
              <w:rPr>
                <w:rFonts w:ascii="宋体" w:hAnsi="宋体" w:cs="宋体"/>
                <w:color w:val="auto"/>
                <w:kern w:val="0"/>
                <w:sz w:val="20"/>
                <w:szCs w:val="20"/>
              </w:rPr>
            </w:pPr>
          </w:p>
        </w:tc>
        <w:tc>
          <w:tcPr>
            <w:tcW w:w="1080" w:type="dxa"/>
            <w:noWrap w:val="0"/>
            <w:vAlign w:val="center"/>
          </w:tcPr>
          <w:p>
            <w:pPr>
              <w:widowControl/>
              <w:jc w:val="left"/>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15"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54</w:t>
            </w: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2.4.2</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层门尺寸</w:t>
            </w: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全高度层门开启后的净高度应≥2.0m。特殊情况下，当进入建筑物的入口高度小于2.0m时，层门开启后的净高度应≥1.8m。层门下部间隙应≤50mm</w:t>
            </w:r>
          </w:p>
        </w:tc>
        <w:tc>
          <w:tcPr>
            <w:tcW w:w="1230" w:type="dxa"/>
            <w:noWrap w:val="0"/>
            <w:vAlign w:val="center"/>
          </w:tcPr>
          <w:p>
            <w:pPr>
              <w:widowControl/>
              <w:jc w:val="center"/>
              <w:rPr>
                <w:rFonts w:ascii="宋体" w:hAnsi="宋体" w:cs="宋体"/>
                <w:color w:val="auto"/>
                <w:kern w:val="0"/>
                <w:sz w:val="20"/>
                <w:szCs w:val="20"/>
              </w:rPr>
            </w:pPr>
          </w:p>
        </w:tc>
        <w:tc>
          <w:tcPr>
            <w:tcW w:w="1125" w:type="dxa"/>
            <w:vMerge w:val="restart"/>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hint="eastAsia"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15" w:type="dxa"/>
            <w:vMerge w:val="continue"/>
            <w:noWrap w:val="0"/>
            <w:vAlign w:val="center"/>
          </w:tcPr>
          <w:p>
            <w:pPr>
              <w:widowControl/>
              <w:jc w:val="left"/>
              <w:rPr>
                <w:rFonts w:ascii="宋体" w:hAnsi="宋体" w:cs="宋体"/>
                <w:color w:val="auto"/>
                <w:kern w:val="0"/>
                <w:sz w:val="20"/>
                <w:szCs w:val="20"/>
              </w:rPr>
            </w:pP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continue"/>
            <w:noWrap w:val="0"/>
            <w:vAlign w:val="center"/>
          </w:tcPr>
          <w:p>
            <w:pPr>
              <w:widowControl/>
              <w:jc w:val="left"/>
              <w:rPr>
                <w:rFonts w:ascii="宋体" w:hAnsi="宋体" w:cs="宋体"/>
                <w:color w:val="auto"/>
                <w:kern w:val="0"/>
                <w:sz w:val="20"/>
                <w:szCs w:val="20"/>
              </w:rPr>
            </w:pP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高度降低的层门高度应≥1.1m。高度降低的层门两侧应设置高度不小于1.1m的护栏，护栏的中间高度应设横杆，踢脚板高度应≥100mm。侧面护栏与吊笼的间距应为100～200mm。层门下部间隙应≤35mm</w:t>
            </w:r>
          </w:p>
        </w:tc>
        <w:tc>
          <w:tcPr>
            <w:tcW w:w="1230" w:type="dxa"/>
            <w:noWrap w:val="0"/>
            <w:vAlign w:val="center"/>
          </w:tcPr>
          <w:p>
            <w:pPr>
              <w:widowControl/>
              <w:jc w:val="center"/>
              <w:rPr>
                <w:rFonts w:ascii="宋体" w:hAnsi="宋体" w:cs="宋体"/>
                <w:color w:val="auto"/>
                <w:kern w:val="0"/>
                <w:sz w:val="20"/>
                <w:szCs w:val="20"/>
              </w:rPr>
            </w:pPr>
          </w:p>
        </w:tc>
        <w:tc>
          <w:tcPr>
            <w:tcW w:w="1125" w:type="dxa"/>
            <w:vMerge w:val="continue"/>
            <w:noWrap w:val="0"/>
            <w:vAlign w:val="center"/>
          </w:tcPr>
          <w:p>
            <w:pPr>
              <w:widowControl/>
              <w:jc w:val="left"/>
              <w:rPr>
                <w:rFonts w:ascii="宋体" w:hAnsi="宋体" w:cs="宋体"/>
                <w:color w:val="auto"/>
                <w:kern w:val="0"/>
                <w:sz w:val="20"/>
                <w:szCs w:val="20"/>
              </w:rPr>
            </w:pPr>
          </w:p>
        </w:tc>
        <w:tc>
          <w:tcPr>
            <w:tcW w:w="960" w:type="dxa"/>
            <w:noWrap w:val="0"/>
            <w:vAlign w:val="center"/>
          </w:tcPr>
          <w:p>
            <w:pPr>
              <w:widowControl/>
              <w:jc w:val="left"/>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left"/>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15" w:type="dxa"/>
            <w:vMerge w:val="continue"/>
            <w:noWrap w:val="0"/>
            <w:vAlign w:val="center"/>
          </w:tcPr>
          <w:p>
            <w:pPr>
              <w:widowControl/>
              <w:jc w:val="left"/>
              <w:rPr>
                <w:rFonts w:ascii="宋体" w:hAnsi="宋体" w:cs="宋体"/>
                <w:color w:val="auto"/>
                <w:kern w:val="0"/>
                <w:sz w:val="20"/>
                <w:szCs w:val="20"/>
              </w:rPr>
            </w:pP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continue"/>
            <w:noWrap w:val="0"/>
            <w:vAlign w:val="center"/>
          </w:tcPr>
          <w:p>
            <w:pPr>
              <w:widowControl/>
              <w:jc w:val="left"/>
              <w:rPr>
                <w:rFonts w:ascii="宋体" w:hAnsi="宋体" w:cs="宋体"/>
                <w:color w:val="auto"/>
                <w:kern w:val="0"/>
                <w:sz w:val="20"/>
                <w:szCs w:val="20"/>
              </w:rPr>
            </w:pP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xml:space="preserve"> 层门的净宽度与吊笼进出口宽度之差不得大</w:t>
            </w:r>
            <w:r>
              <w:rPr>
                <w:rFonts w:hint="eastAsia" w:ascii="宋体" w:hAnsi="宋体" w:cs="宋体"/>
                <w:color w:val="auto"/>
                <w:kern w:val="0"/>
                <w:sz w:val="20"/>
                <w:szCs w:val="20"/>
              </w:rPr>
              <w:br w:type="textWrapping"/>
            </w:r>
            <w:r>
              <w:rPr>
                <w:rFonts w:hint="eastAsia" w:ascii="宋体" w:hAnsi="宋体" w:cs="宋体"/>
                <w:color w:val="auto"/>
                <w:kern w:val="0"/>
                <w:sz w:val="20"/>
                <w:szCs w:val="20"/>
              </w:rPr>
              <w:t xml:space="preserve"> 于120mm</w:t>
            </w:r>
          </w:p>
        </w:tc>
        <w:tc>
          <w:tcPr>
            <w:tcW w:w="1230" w:type="dxa"/>
            <w:noWrap w:val="0"/>
            <w:vAlign w:val="center"/>
          </w:tcPr>
          <w:p>
            <w:pPr>
              <w:widowControl/>
              <w:jc w:val="center"/>
              <w:rPr>
                <w:rFonts w:ascii="宋体" w:hAnsi="宋体" w:cs="宋体"/>
                <w:color w:val="auto"/>
                <w:kern w:val="0"/>
                <w:sz w:val="20"/>
                <w:szCs w:val="20"/>
              </w:rPr>
            </w:pPr>
          </w:p>
        </w:tc>
        <w:tc>
          <w:tcPr>
            <w:tcW w:w="1125" w:type="dxa"/>
            <w:vMerge w:val="continue"/>
            <w:noWrap w:val="0"/>
            <w:vAlign w:val="center"/>
          </w:tcPr>
          <w:p>
            <w:pPr>
              <w:widowControl/>
              <w:jc w:val="left"/>
              <w:rPr>
                <w:rFonts w:ascii="宋体" w:hAnsi="宋体" w:cs="宋体"/>
                <w:color w:val="auto"/>
                <w:kern w:val="0"/>
                <w:sz w:val="20"/>
                <w:szCs w:val="20"/>
              </w:rPr>
            </w:pPr>
          </w:p>
        </w:tc>
        <w:tc>
          <w:tcPr>
            <w:tcW w:w="960" w:type="dxa"/>
            <w:noWrap w:val="0"/>
            <w:vAlign w:val="center"/>
          </w:tcPr>
          <w:p>
            <w:pPr>
              <w:widowControl/>
              <w:jc w:val="left"/>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left"/>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5" w:type="dxa"/>
            <w:vMerge w:val="continue"/>
            <w:noWrap w:val="0"/>
            <w:vAlign w:val="center"/>
          </w:tcPr>
          <w:p>
            <w:pPr>
              <w:widowControl/>
              <w:jc w:val="left"/>
              <w:rPr>
                <w:rFonts w:ascii="宋体" w:hAnsi="宋体" w:cs="宋体"/>
                <w:color w:val="auto"/>
                <w:kern w:val="0"/>
                <w:sz w:val="20"/>
                <w:szCs w:val="20"/>
              </w:rPr>
            </w:pPr>
          </w:p>
        </w:tc>
        <w:tc>
          <w:tcPr>
            <w:tcW w:w="668" w:type="dxa"/>
            <w:vMerge w:val="continue"/>
            <w:noWrap w:val="0"/>
            <w:vAlign w:val="center"/>
          </w:tcPr>
          <w:p>
            <w:pPr>
              <w:widowControl/>
              <w:jc w:val="left"/>
              <w:rPr>
                <w:rFonts w:ascii="宋体" w:hAnsi="宋体" w:cs="宋体"/>
                <w:color w:val="auto"/>
                <w:kern w:val="0"/>
                <w:sz w:val="20"/>
                <w:szCs w:val="20"/>
              </w:rPr>
            </w:pPr>
          </w:p>
        </w:tc>
        <w:tc>
          <w:tcPr>
            <w:tcW w:w="885" w:type="dxa"/>
            <w:vMerge w:val="continue"/>
            <w:noWrap w:val="0"/>
            <w:vAlign w:val="center"/>
          </w:tcPr>
          <w:p>
            <w:pPr>
              <w:widowControl/>
              <w:jc w:val="left"/>
              <w:rPr>
                <w:rFonts w:ascii="宋体" w:hAnsi="宋体" w:cs="宋体"/>
                <w:color w:val="auto"/>
                <w:kern w:val="0"/>
                <w:sz w:val="20"/>
                <w:szCs w:val="20"/>
              </w:rPr>
            </w:pPr>
          </w:p>
        </w:tc>
        <w:tc>
          <w:tcPr>
            <w:tcW w:w="4200" w:type="dxa"/>
            <w:gridSpan w:val="7"/>
            <w:noWrap w:val="0"/>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xml:space="preserve"> 层门采用实体板时，应在视线位置设观察窗，</w:t>
            </w:r>
            <w:r>
              <w:rPr>
                <w:rFonts w:hint="eastAsia" w:ascii="宋体" w:hAnsi="宋体" w:cs="宋体"/>
                <w:color w:val="auto"/>
                <w:kern w:val="0"/>
                <w:sz w:val="20"/>
                <w:szCs w:val="20"/>
              </w:rPr>
              <w:br w:type="textWrapping"/>
            </w:r>
            <w:r>
              <w:rPr>
                <w:rFonts w:hint="eastAsia" w:ascii="宋体" w:hAnsi="宋体" w:cs="宋体"/>
                <w:color w:val="auto"/>
                <w:kern w:val="0"/>
                <w:sz w:val="20"/>
                <w:szCs w:val="20"/>
              </w:rPr>
              <w:t xml:space="preserve"> 窗的面积不应小于2500mm</w:t>
            </w:r>
            <w:r>
              <w:rPr>
                <w:rFonts w:hint="eastAsia" w:ascii="宋体" w:hAnsi="宋体" w:cs="MingLiU_HKSCS"/>
                <w:color w:val="auto"/>
                <w:kern w:val="0"/>
                <w:sz w:val="20"/>
                <w:szCs w:val="20"/>
              </w:rPr>
              <w:t></w:t>
            </w:r>
          </w:p>
        </w:tc>
        <w:tc>
          <w:tcPr>
            <w:tcW w:w="1230" w:type="dxa"/>
            <w:noWrap w:val="0"/>
            <w:vAlign w:val="center"/>
          </w:tcPr>
          <w:p>
            <w:pPr>
              <w:widowControl/>
              <w:jc w:val="center"/>
              <w:rPr>
                <w:rFonts w:ascii="宋体" w:hAnsi="宋体" w:cs="宋体"/>
                <w:color w:val="auto"/>
                <w:kern w:val="0"/>
                <w:sz w:val="20"/>
                <w:szCs w:val="20"/>
              </w:rPr>
            </w:pPr>
          </w:p>
        </w:tc>
        <w:tc>
          <w:tcPr>
            <w:tcW w:w="1125" w:type="dxa"/>
            <w:vMerge w:val="continue"/>
            <w:noWrap w:val="0"/>
            <w:vAlign w:val="center"/>
          </w:tcPr>
          <w:p>
            <w:pPr>
              <w:widowControl/>
              <w:jc w:val="left"/>
              <w:rPr>
                <w:rFonts w:ascii="宋体" w:hAnsi="宋体" w:cs="宋体"/>
                <w:color w:val="auto"/>
                <w:kern w:val="0"/>
                <w:sz w:val="20"/>
                <w:szCs w:val="20"/>
              </w:rPr>
            </w:pPr>
          </w:p>
        </w:tc>
        <w:tc>
          <w:tcPr>
            <w:tcW w:w="960" w:type="dxa"/>
            <w:noWrap w:val="0"/>
            <w:vAlign w:val="center"/>
          </w:tcPr>
          <w:p>
            <w:pPr>
              <w:widowControl/>
              <w:jc w:val="left"/>
              <w:rPr>
                <w:rFonts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left"/>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55</w:t>
            </w:r>
          </w:p>
        </w:tc>
        <w:tc>
          <w:tcPr>
            <w:tcW w:w="668"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2.4</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停层</w:t>
            </w:r>
            <w:r>
              <w:rPr>
                <w:rFonts w:hint="eastAsia" w:ascii="宋体" w:hAnsi="宋体" w:cs="宋体"/>
                <w:color w:val="auto"/>
                <w:kern w:val="0"/>
                <w:sz w:val="20"/>
                <w:szCs w:val="20"/>
              </w:rPr>
              <w:br w:type="textWrapping"/>
            </w:r>
            <w:r>
              <w:rPr>
                <w:rFonts w:hint="eastAsia" w:ascii="宋体" w:hAnsi="宋体" w:cs="宋体"/>
                <w:color w:val="auto"/>
                <w:kern w:val="0"/>
                <w:sz w:val="20"/>
                <w:szCs w:val="20"/>
              </w:rPr>
              <w:t>与吊</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笼及</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对重</w:t>
            </w: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2.4.3</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层门强度</w:t>
            </w: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对于全高度层门，在其锁住位置，在5000mm的方形或圆形面积上作用一个300N的法向力于任一面上的任何位置，门应：(1）能够承受且无永久变形；(2）试验之后工作正常</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highlight w:val="yellow"/>
              </w:rPr>
            </w:pPr>
          </w:p>
        </w:tc>
        <w:tc>
          <w:tcPr>
            <w:tcW w:w="960" w:type="dxa"/>
            <w:noWrap w:val="0"/>
            <w:vAlign w:val="center"/>
          </w:tcPr>
          <w:p>
            <w:pPr>
              <w:widowControl/>
              <w:jc w:val="center"/>
              <w:rPr>
                <w:rFonts w:hint="eastAsia" w:ascii="宋体" w:hAnsi="宋体" w:cs="宋体"/>
                <w:color w:val="auto"/>
                <w:kern w:val="0"/>
                <w:sz w:val="20"/>
                <w:szCs w:val="20"/>
                <w:highlight w:val="yellow"/>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5" w:type="dxa"/>
            <w:noWrap w:val="0"/>
            <w:vAlign w:val="center"/>
          </w:tcPr>
          <w:p>
            <w:pPr>
              <w:widowControl/>
              <w:jc w:val="left"/>
              <w:rPr>
                <w:rFonts w:ascii="宋体" w:hAnsi="宋体" w:cs="宋体"/>
                <w:color w:val="auto"/>
                <w:kern w:val="0"/>
                <w:sz w:val="20"/>
                <w:szCs w:val="20"/>
              </w:rPr>
            </w:pPr>
          </w:p>
        </w:tc>
        <w:tc>
          <w:tcPr>
            <w:tcW w:w="668" w:type="dxa"/>
            <w:noWrap w:val="0"/>
            <w:vAlign w:val="center"/>
          </w:tcPr>
          <w:p>
            <w:pPr>
              <w:widowControl/>
              <w:jc w:val="left"/>
              <w:rPr>
                <w:rFonts w:ascii="宋体" w:hAnsi="宋体" w:cs="宋体"/>
                <w:color w:val="auto"/>
                <w:kern w:val="0"/>
                <w:sz w:val="20"/>
                <w:szCs w:val="20"/>
              </w:rPr>
            </w:pPr>
          </w:p>
        </w:tc>
        <w:tc>
          <w:tcPr>
            <w:tcW w:w="885" w:type="dxa"/>
            <w:noWrap w:val="0"/>
            <w:vAlign w:val="center"/>
          </w:tcPr>
          <w:p>
            <w:pPr>
              <w:widowControl/>
              <w:jc w:val="left"/>
              <w:rPr>
                <w:rFonts w:ascii="宋体" w:hAnsi="宋体" w:cs="宋体"/>
                <w:color w:val="auto"/>
                <w:kern w:val="0"/>
                <w:sz w:val="20"/>
                <w:szCs w:val="20"/>
              </w:rPr>
            </w:pP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对于高度降低的层门，当用1kN的法向力作用到门或侧面护栏顶部的任一点，用300N的法向力作用在顶杆、中间杆、护脚板任一点时，门或侧面护栏应：(1）能够承受且无永久变形；(2）试验之后工作正常</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left"/>
              <w:rPr>
                <w:rFonts w:ascii="宋体" w:hAnsi="宋体" w:cs="宋体"/>
                <w:color w:val="auto"/>
                <w:kern w:val="0"/>
                <w:sz w:val="20"/>
                <w:szCs w:val="20"/>
              </w:rPr>
            </w:pPr>
          </w:p>
        </w:tc>
        <w:tc>
          <w:tcPr>
            <w:tcW w:w="960" w:type="dxa"/>
            <w:noWrap w:val="0"/>
            <w:vAlign w:val="center"/>
          </w:tcPr>
          <w:p>
            <w:pPr>
              <w:widowControl/>
              <w:jc w:val="left"/>
              <w:rPr>
                <w:rFonts w:hint="eastAsia"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left"/>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56</w:t>
            </w:r>
          </w:p>
        </w:tc>
        <w:tc>
          <w:tcPr>
            <w:tcW w:w="668" w:type="dxa"/>
            <w:noWrap w:val="0"/>
            <w:vAlign w:val="top"/>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2.4.4</w:t>
            </w:r>
          </w:p>
          <w:p>
            <w:pPr>
              <w:widowControl/>
              <w:jc w:val="center"/>
              <w:rPr>
                <w:rFonts w:ascii="宋体" w:hAnsi="宋体" w:cs="宋体"/>
                <w:color w:val="auto"/>
                <w:kern w:val="0"/>
                <w:sz w:val="20"/>
                <w:szCs w:val="20"/>
              </w:rPr>
            </w:pPr>
            <w:r>
              <w:rPr>
                <w:rFonts w:hint="eastAsia" w:ascii="宋体" w:hAnsi="宋体" w:cs="宋体"/>
                <w:color w:val="auto"/>
                <w:kern w:val="0"/>
                <w:sz w:val="20"/>
                <w:szCs w:val="20"/>
              </w:rPr>
              <w:t>层门与吊笼门间距</w:t>
            </w: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全高度层门与关闭的吊笼门间的水平距离应≤200mm</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highlight w:val="yellow"/>
              </w:rPr>
            </w:pPr>
          </w:p>
        </w:tc>
        <w:tc>
          <w:tcPr>
            <w:tcW w:w="960" w:type="dxa"/>
            <w:noWrap w:val="0"/>
            <w:vAlign w:val="center"/>
          </w:tcPr>
          <w:p>
            <w:pPr>
              <w:widowControl/>
              <w:jc w:val="center"/>
              <w:rPr>
                <w:rFonts w:hint="eastAsia" w:ascii="宋体" w:hAnsi="宋体" w:cs="宋体"/>
                <w:color w:val="auto"/>
                <w:kern w:val="0"/>
                <w:sz w:val="20"/>
                <w:szCs w:val="20"/>
                <w:highlight w:val="yellow"/>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57</w:t>
            </w:r>
          </w:p>
        </w:tc>
        <w:tc>
          <w:tcPr>
            <w:tcW w:w="668" w:type="dxa"/>
            <w:noWrap w:val="0"/>
            <w:vAlign w:val="top"/>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2.4.5</w:t>
            </w:r>
          </w:p>
          <w:p>
            <w:pPr>
              <w:widowControl/>
              <w:jc w:val="center"/>
              <w:rPr>
                <w:rFonts w:ascii="宋体" w:hAnsi="宋体" w:cs="宋体"/>
                <w:color w:val="auto"/>
                <w:kern w:val="0"/>
                <w:sz w:val="20"/>
                <w:szCs w:val="20"/>
              </w:rPr>
            </w:pPr>
            <w:r>
              <w:rPr>
                <w:rFonts w:hint="eastAsia" w:ascii="宋体" w:hAnsi="宋体" w:cs="宋体"/>
                <w:color w:val="auto"/>
                <w:kern w:val="0"/>
                <w:sz w:val="20"/>
                <w:szCs w:val="20"/>
              </w:rPr>
              <w:t>层门与吊笼安全距离</w:t>
            </w: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高度降低的层门与正常工作的吊笼运动部件的安全距离应≥0.85m；如果施工升降机额定提升速度不大于0.7m/s时，此安全距离应≥0.5m</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★58</w:t>
            </w:r>
          </w:p>
        </w:tc>
        <w:tc>
          <w:tcPr>
            <w:tcW w:w="668" w:type="dxa"/>
            <w:noWrap w:val="0"/>
            <w:vAlign w:val="top"/>
          </w:tcPr>
          <w:p>
            <w:pPr>
              <w:widowControl/>
              <w:jc w:val="left"/>
              <w:rPr>
                <w:rFonts w:ascii="宋体" w:hAnsi="宋体" w:cs="宋体"/>
                <w:color w:val="auto"/>
                <w:kern w:val="0"/>
                <w:sz w:val="20"/>
                <w:szCs w:val="20"/>
              </w:rPr>
            </w:pPr>
          </w:p>
        </w:tc>
        <w:tc>
          <w:tcPr>
            <w:tcW w:w="885" w:type="dxa"/>
            <w:noWrap w:val="0"/>
            <w:vAlign w:val="center"/>
          </w:tcPr>
          <w:p>
            <w:pPr>
              <w:widowControl/>
              <w:ind w:firstLine="200" w:firstLineChars="100"/>
              <w:rPr>
                <w:rFonts w:ascii="宋体" w:hAnsi="宋体" w:cs="宋体"/>
                <w:color w:val="auto"/>
                <w:kern w:val="0"/>
                <w:sz w:val="20"/>
                <w:szCs w:val="20"/>
              </w:rPr>
            </w:pPr>
            <w:r>
              <w:rPr>
                <w:rFonts w:hint="eastAsia" w:ascii="宋体" w:hAnsi="宋体" w:cs="宋体"/>
                <w:color w:val="auto"/>
                <w:kern w:val="0"/>
                <w:sz w:val="20"/>
                <w:szCs w:val="20"/>
              </w:rPr>
              <w:t>2.4.6</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登机平台</w:t>
            </w: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登机平台应独立搭设,平台或通道的脚手板铺设应严密、牢固。登机平台正面临边应采用硬质材料防护,且防护高度应不低于1.8m</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登机平台搭设不符合要求，临边防护不符合要求</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59</w:t>
            </w:r>
          </w:p>
        </w:tc>
        <w:tc>
          <w:tcPr>
            <w:tcW w:w="668" w:type="dxa"/>
            <w:noWrap w:val="0"/>
            <w:vAlign w:val="top"/>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2.4.7</w:t>
            </w:r>
          </w:p>
          <w:p>
            <w:pPr>
              <w:widowControl/>
              <w:jc w:val="center"/>
              <w:rPr>
                <w:rFonts w:ascii="宋体" w:hAnsi="宋体" w:cs="宋体"/>
                <w:color w:val="auto"/>
                <w:kern w:val="0"/>
                <w:sz w:val="20"/>
                <w:szCs w:val="20"/>
              </w:rPr>
            </w:pPr>
            <w:r>
              <w:rPr>
                <w:rFonts w:hint="eastAsia" w:ascii="宋体" w:hAnsi="宋体" w:cs="宋体"/>
                <w:color w:val="auto"/>
                <w:kern w:val="0"/>
                <w:sz w:val="20"/>
                <w:szCs w:val="20"/>
              </w:rPr>
              <w:t>吊笼门与平台间距</w:t>
            </w: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装载和卸载时，吊笼门框外缘与登机平台边缘之间的水平距离不应大于50mm</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★60</w:t>
            </w:r>
          </w:p>
        </w:tc>
        <w:tc>
          <w:tcPr>
            <w:tcW w:w="668" w:type="dxa"/>
            <w:noWrap w:val="0"/>
            <w:vAlign w:val="top"/>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2.4.8</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笼门联锁</w:t>
            </w: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吊笼门应装有机械锁止装置和电气安全开关,且动作灵敏、可靠</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吊笼门机械、电气联锁开关失效的</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61</w:t>
            </w:r>
          </w:p>
        </w:tc>
        <w:tc>
          <w:tcPr>
            <w:tcW w:w="668" w:type="dxa"/>
            <w:noWrap w:val="0"/>
            <w:vAlign w:val="top"/>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2.4.9</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对重固定</w:t>
            </w: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当对重使用填充物时，应采取措施防止其窜动</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62</w:t>
            </w:r>
          </w:p>
        </w:tc>
        <w:tc>
          <w:tcPr>
            <w:tcW w:w="668" w:type="dxa"/>
            <w:noWrap w:val="0"/>
            <w:vAlign w:val="top"/>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2.4.10</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缓冲器</w:t>
            </w: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施工升降机底架上应设置吊笼和对重用的缓冲器，且安装位置正确，功能正常</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63</w:t>
            </w:r>
          </w:p>
        </w:tc>
        <w:tc>
          <w:tcPr>
            <w:tcW w:w="668" w:type="dxa"/>
            <w:noWrap w:val="0"/>
            <w:vAlign w:val="top"/>
          </w:tcPr>
          <w:p>
            <w:pPr>
              <w:widowControl/>
              <w:jc w:val="left"/>
              <w:rPr>
                <w:rFonts w:ascii="宋体" w:hAnsi="宋体" w:cs="宋体"/>
                <w:color w:val="auto"/>
                <w:kern w:val="0"/>
                <w:sz w:val="20"/>
                <w:szCs w:val="20"/>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2.4.11</w:t>
            </w:r>
            <w:r>
              <w:rPr>
                <w:rFonts w:hint="eastAsia" w:ascii="宋体" w:hAnsi="宋体" w:cs="宋体"/>
                <w:color w:val="auto"/>
                <w:kern w:val="0"/>
                <w:sz w:val="20"/>
                <w:szCs w:val="20"/>
              </w:rPr>
              <w:br w:type="textWrapping"/>
            </w:r>
            <w:r>
              <w:rPr>
                <w:rFonts w:hint="eastAsia" w:ascii="宋体" w:hAnsi="宋体" w:cs="宋体"/>
                <w:color w:val="auto"/>
                <w:kern w:val="0"/>
                <w:sz w:val="20"/>
                <w:szCs w:val="20"/>
              </w:rPr>
              <w:t>越程距离</w:t>
            </w: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当吊笼停在完全压缩的缓冲器上时，对重上面的越程余量不应小于0.5m</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5" w:type="dxa"/>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64</w:t>
            </w:r>
          </w:p>
        </w:tc>
        <w:tc>
          <w:tcPr>
            <w:tcW w:w="668"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2.5</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机构及零部件</w:t>
            </w:r>
          </w:p>
        </w:tc>
        <w:tc>
          <w:tcPr>
            <w:tcW w:w="885" w:type="dxa"/>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2.5.1</w:t>
            </w:r>
            <w:r>
              <w:rPr>
                <w:rFonts w:hint="eastAsia" w:ascii="宋体" w:hAnsi="宋体" w:cs="宋体"/>
                <w:color w:val="auto"/>
                <w:kern w:val="0"/>
                <w:sz w:val="20"/>
                <w:szCs w:val="20"/>
              </w:rPr>
              <w:br w:type="textWrapping"/>
            </w:r>
            <w:r>
              <w:rPr>
                <w:rFonts w:hint="eastAsia" w:ascii="宋体" w:hAnsi="宋体" w:cs="宋体"/>
                <w:color w:val="auto"/>
                <w:kern w:val="0"/>
                <w:sz w:val="20"/>
                <w:szCs w:val="20"/>
              </w:rPr>
              <w:t>齿轮固定</w:t>
            </w: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驱动齿轮和防坠安全器齿轮应直接固定在轴上，不能采用摩擦和夹紧的方法连接</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65</w:t>
            </w:r>
          </w:p>
        </w:tc>
        <w:tc>
          <w:tcPr>
            <w:tcW w:w="668" w:type="dxa"/>
            <w:noWrap w:val="0"/>
            <w:vAlign w:val="center"/>
          </w:tcPr>
          <w:p>
            <w:pPr>
              <w:widowControl/>
              <w:jc w:val="center"/>
              <w:rPr>
                <w:rFonts w:hint="eastAsia" w:ascii="宋体" w:hAnsi="宋体" w:cs="宋体"/>
                <w:color w:val="auto"/>
                <w:kern w:val="0"/>
                <w:sz w:val="20"/>
                <w:szCs w:val="20"/>
              </w:rPr>
            </w:pPr>
          </w:p>
        </w:tc>
        <w:tc>
          <w:tcPr>
            <w:tcW w:w="885" w:type="dxa"/>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2.5.2</w:t>
            </w:r>
            <w:r>
              <w:rPr>
                <w:rFonts w:hint="eastAsia" w:ascii="宋体" w:hAnsi="宋体" w:cs="宋体"/>
                <w:color w:val="auto"/>
                <w:kern w:val="0"/>
                <w:sz w:val="20"/>
                <w:szCs w:val="20"/>
              </w:rPr>
              <w:br w:type="textWrapping"/>
            </w:r>
            <w:r>
              <w:rPr>
                <w:rFonts w:hint="eastAsia" w:ascii="宋体" w:hAnsi="宋体" w:cs="宋体"/>
                <w:color w:val="auto"/>
                <w:kern w:val="0"/>
                <w:sz w:val="20"/>
                <w:szCs w:val="20"/>
              </w:rPr>
              <w:t>齿轮位置</w:t>
            </w: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防坠安全器齿轮位置应低于最低的驱动齿轮</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66</w:t>
            </w:r>
          </w:p>
        </w:tc>
        <w:tc>
          <w:tcPr>
            <w:tcW w:w="668" w:type="dxa"/>
            <w:vMerge w:val="restart"/>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2.5</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机构及零部件</w:t>
            </w:r>
          </w:p>
        </w:tc>
        <w:tc>
          <w:tcPr>
            <w:tcW w:w="885" w:type="dxa"/>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2.5.3</w:t>
            </w:r>
          </w:p>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齿轮齿条啮合精度</w:t>
            </w: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 xml:space="preserve"> 齿条应全宽度参与啮合，至少应保证有90%</w:t>
            </w:r>
            <w:r>
              <w:rPr>
                <w:rFonts w:hint="eastAsia" w:ascii="宋体" w:hAnsi="宋体" w:cs="宋体"/>
                <w:color w:val="auto"/>
                <w:kern w:val="0"/>
                <w:sz w:val="20"/>
                <w:szCs w:val="20"/>
              </w:rPr>
              <w:br w:type="textWrapping"/>
            </w:r>
            <w:r>
              <w:rPr>
                <w:rFonts w:hint="eastAsia" w:ascii="宋体" w:hAnsi="宋体" w:cs="宋体"/>
                <w:color w:val="auto"/>
                <w:kern w:val="0"/>
                <w:sz w:val="20"/>
                <w:szCs w:val="20"/>
              </w:rPr>
              <w:t xml:space="preserve"> 的计算宽度的啮合。接触长度，沿齿高不应</w:t>
            </w:r>
            <w:r>
              <w:rPr>
                <w:rFonts w:hint="eastAsia" w:ascii="宋体" w:hAnsi="宋体" w:cs="宋体"/>
                <w:color w:val="auto"/>
                <w:kern w:val="0"/>
                <w:sz w:val="20"/>
                <w:szCs w:val="20"/>
              </w:rPr>
              <w:br w:type="textWrapping"/>
            </w:r>
            <w:r>
              <w:rPr>
                <w:rFonts w:hint="eastAsia" w:ascii="宋体" w:hAnsi="宋体" w:cs="宋体"/>
                <w:color w:val="auto"/>
                <w:kern w:val="0"/>
                <w:sz w:val="20"/>
                <w:szCs w:val="20"/>
              </w:rPr>
              <w:t xml:space="preserve"> 小于40%，沿齿长不应小于50%；齿面侧隙应</w:t>
            </w:r>
            <w:r>
              <w:rPr>
                <w:rFonts w:hint="eastAsia" w:ascii="宋体" w:hAnsi="宋体" w:cs="宋体"/>
                <w:color w:val="auto"/>
                <w:kern w:val="0"/>
                <w:sz w:val="20"/>
                <w:szCs w:val="20"/>
              </w:rPr>
              <w:br w:type="textWrapping"/>
            </w:r>
            <w:r>
              <w:rPr>
                <w:rFonts w:hint="eastAsia" w:ascii="宋体" w:hAnsi="宋体" w:cs="宋体"/>
                <w:color w:val="auto"/>
                <w:kern w:val="0"/>
                <w:sz w:val="20"/>
                <w:szCs w:val="20"/>
              </w:rPr>
              <w:t xml:space="preserve"> 为0.2～0.5mm</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5" w:type="dxa"/>
            <w:vMerge w:val="restart"/>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67</w:t>
            </w:r>
          </w:p>
        </w:tc>
        <w:tc>
          <w:tcPr>
            <w:tcW w:w="668" w:type="dxa"/>
            <w:vMerge w:val="continue"/>
            <w:noWrap w:val="0"/>
            <w:vAlign w:val="center"/>
          </w:tcPr>
          <w:p>
            <w:pPr>
              <w:widowControl/>
              <w:jc w:val="center"/>
              <w:rPr>
                <w:rFonts w:hint="eastAsia" w:ascii="宋体" w:hAnsi="宋体" w:cs="宋体"/>
                <w:color w:val="auto"/>
                <w:kern w:val="0"/>
                <w:sz w:val="20"/>
                <w:szCs w:val="20"/>
              </w:rPr>
            </w:pPr>
          </w:p>
        </w:tc>
        <w:tc>
          <w:tcPr>
            <w:tcW w:w="885" w:type="dxa"/>
            <w:vMerge w:val="restart"/>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2.5.4</w:t>
            </w:r>
            <w:r>
              <w:rPr>
                <w:rFonts w:hint="eastAsia" w:ascii="宋体" w:hAnsi="宋体" w:cs="宋体"/>
                <w:color w:val="auto"/>
                <w:kern w:val="0"/>
                <w:sz w:val="20"/>
                <w:szCs w:val="20"/>
              </w:rPr>
              <w:br w:type="textWrapping"/>
            </w:r>
            <w:r>
              <w:rPr>
                <w:rFonts w:hint="eastAsia" w:ascii="宋体" w:hAnsi="宋体" w:cs="宋体"/>
                <w:color w:val="auto"/>
                <w:kern w:val="0"/>
                <w:sz w:val="20"/>
                <w:szCs w:val="20"/>
              </w:rPr>
              <w:t>钢丝绳</w:t>
            </w:r>
          </w:p>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数量</w:t>
            </w: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齿轮齿条式施工升降机，悬挂对重的钢丝绳不得少于2根，且相互独立</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5" w:type="dxa"/>
            <w:vMerge w:val="continue"/>
            <w:noWrap w:val="0"/>
            <w:vAlign w:val="center"/>
          </w:tcPr>
          <w:p>
            <w:pPr>
              <w:widowControl/>
              <w:jc w:val="center"/>
              <w:rPr>
                <w:rFonts w:hint="eastAsia" w:ascii="宋体" w:hAnsi="宋体" w:cs="宋体"/>
                <w:color w:val="auto"/>
                <w:kern w:val="0"/>
                <w:sz w:val="20"/>
                <w:szCs w:val="20"/>
              </w:rPr>
            </w:pPr>
          </w:p>
        </w:tc>
        <w:tc>
          <w:tcPr>
            <w:tcW w:w="668" w:type="dxa"/>
            <w:vMerge w:val="continue"/>
            <w:noWrap w:val="0"/>
            <w:vAlign w:val="center"/>
          </w:tcPr>
          <w:p>
            <w:pPr>
              <w:widowControl/>
              <w:jc w:val="center"/>
              <w:rPr>
                <w:rFonts w:hint="eastAsia" w:ascii="宋体" w:hAnsi="宋体" w:cs="宋体"/>
                <w:color w:val="auto"/>
                <w:kern w:val="0"/>
                <w:sz w:val="20"/>
                <w:szCs w:val="20"/>
              </w:rPr>
            </w:pPr>
          </w:p>
        </w:tc>
        <w:tc>
          <w:tcPr>
            <w:tcW w:w="885" w:type="dxa"/>
            <w:vMerge w:val="continue"/>
            <w:noWrap w:val="0"/>
            <w:vAlign w:val="center"/>
          </w:tcPr>
          <w:p>
            <w:pPr>
              <w:widowControl/>
              <w:jc w:val="center"/>
              <w:rPr>
                <w:rFonts w:hint="eastAsia" w:ascii="宋体" w:hAnsi="宋体" w:cs="宋体"/>
                <w:color w:val="auto"/>
                <w:kern w:val="0"/>
                <w:sz w:val="20"/>
                <w:szCs w:val="20"/>
              </w:rPr>
            </w:pP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钢丝绳式施工升降机，提升吊笼的钢丝绳或悬挂吊笼和对重的钢丝绳均不得少于2根，且相互独立</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center"/>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5" w:type="dxa"/>
            <w:vMerge w:val="restart"/>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68</w:t>
            </w:r>
          </w:p>
        </w:tc>
        <w:tc>
          <w:tcPr>
            <w:tcW w:w="668" w:type="dxa"/>
            <w:vMerge w:val="continue"/>
            <w:noWrap w:val="0"/>
            <w:vAlign w:val="top"/>
          </w:tcPr>
          <w:p>
            <w:pPr>
              <w:widowControl/>
              <w:jc w:val="center"/>
              <w:rPr>
                <w:rFonts w:hint="eastAsia" w:ascii="宋体" w:hAnsi="宋体" w:cs="宋体"/>
                <w:color w:val="auto"/>
                <w:kern w:val="0"/>
                <w:sz w:val="20"/>
                <w:szCs w:val="20"/>
              </w:rPr>
            </w:pPr>
          </w:p>
        </w:tc>
        <w:tc>
          <w:tcPr>
            <w:tcW w:w="885" w:type="dxa"/>
            <w:vMerge w:val="restart"/>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2.5.5</w:t>
            </w:r>
          </w:p>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钢丝绳型号规格</w:t>
            </w: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钢丝绳的型号规格应符合设计要求和标准规范的规定，并有产品检验合格证</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top"/>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5" w:type="dxa"/>
            <w:vMerge w:val="continue"/>
            <w:noWrap w:val="0"/>
            <w:vAlign w:val="top"/>
          </w:tcPr>
          <w:p>
            <w:pPr>
              <w:widowControl/>
              <w:jc w:val="center"/>
              <w:rPr>
                <w:rFonts w:hint="eastAsia" w:ascii="宋体" w:hAnsi="宋体" w:cs="宋体"/>
                <w:color w:val="auto"/>
                <w:kern w:val="0"/>
                <w:sz w:val="20"/>
                <w:szCs w:val="20"/>
              </w:rPr>
            </w:pPr>
          </w:p>
        </w:tc>
        <w:tc>
          <w:tcPr>
            <w:tcW w:w="668" w:type="dxa"/>
            <w:vMerge w:val="continue"/>
            <w:noWrap w:val="0"/>
            <w:vAlign w:val="top"/>
          </w:tcPr>
          <w:p>
            <w:pPr>
              <w:widowControl/>
              <w:jc w:val="center"/>
              <w:rPr>
                <w:rFonts w:hint="eastAsia" w:ascii="宋体" w:hAnsi="宋体" w:cs="宋体"/>
                <w:color w:val="auto"/>
                <w:kern w:val="0"/>
                <w:sz w:val="20"/>
                <w:szCs w:val="20"/>
              </w:rPr>
            </w:pPr>
          </w:p>
        </w:tc>
        <w:tc>
          <w:tcPr>
            <w:tcW w:w="885" w:type="dxa"/>
            <w:vMerge w:val="continue"/>
            <w:noWrap w:val="0"/>
            <w:vAlign w:val="top"/>
          </w:tcPr>
          <w:p>
            <w:pPr>
              <w:widowControl/>
              <w:jc w:val="center"/>
              <w:rPr>
                <w:rFonts w:hint="eastAsia" w:ascii="宋体" w:hAnsi="宋体" w:cs="宋体"/>
                <w:color w:val="auto"/>
                <w:kern w:val="0"/>
                <w:sz w:val="20"/>
                <w:szCs w:val="20"/>
              </w:rPr>
            </w:pP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钢丝绳直径应不小于9mm</w:t>
            </w:r>
          </w:p>
        </w:tc>
        <w:tc>
          <w:tcPr>
            <w:tcW w:w="1230" w:type="dxa"/>
            <w:noWrap w:val="0"/>
            <w:vAlign w:val="top"/>
          </w:tcPr>
          <w:p>
            <w:pPr>
              <w:jc w:val="center"/>
              <w:rPr>
                <w:rFonts w:ascii="宋体" w:hAnsi="宋体"/>
                <w:color w:val="auto"/>
              </w:rPr>
            </w:pPr>
          </w:p>
        </w:tc>
        <w:tc>
          <w:tcPr>
            <w:tcW w:w="1125" w:type="dxa"/>
            <w:noWrap w:val="0"/>
            <w:vAlign w:val="top"/>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top"/>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5" w:type="dxa"/>
            <w:vMerge w:val="restart"/>
            <w:noWrap w:val="0"/>
            <w:vAlign w:val="center"/>
          </w:tcPr>
          <w:p>
            <w:pPr>
              <w:widowControl/>
              <w:jc w:val="center"/>
              <w:rPr>
                <w:rFonts w:hint="eastAsia" w:ascii="宋体" w:hAnsi="宋体" w:cs="宋体"/>
                <w:color w:val="auto"/>
                <w:kern w:val="0"/>
                <w:sz w:val="20"/>
                <w:szCs w:val="20"/>
              </w:rPr>
            </w:pPr>
          </w:p>
          <w:p>
            <w:pPr>
              <w:widowControl/>
              <w:rPr>
                <w:rFonts w:ascii="宋体" w:hAnsi="宋体" w:cs="宋体"/>
                <w:color w:val="auto"/>
                <w:kern w:val="0"/>
                <w:sz w:val="20"/>
                <w:szCs w:val="20"/>
              </w:rPr>
            </w:pPr>
            <w:r>
              <w:rPr>
                <w:rFonts w:hint="eastAsia" w:ascii="宋体" w:hAnsi="宋体" w:cs="宋体"/>
                <w:color w:val="auto"/>
                <w:kern w:val="0"/>
                <w:sz w:val="20"/>
                <w:szCs w:val="20"/>
              </w:rPr>
              <w:t>69</w:t>
            </w:r>
          </w:p>
        </w:tc>
        <w:tc>
          <w:tcPr>
            <w:tcW w:w="668" w:type="dxa"/>
            <w:vMerge w:val="continue"/>
            <w:noWrap w:val="0"/>
            <w:vAlign w:val="top"/>
          </w:tcPr>
          <w:p>
            <w:pPr>
              <w:widowControl/>
              <w:jc w:val="center"/>
              <w:rPr>
                <w:rFonts w:hint="eastAsia" w:ascii="宋体" w:hAnsi="宋体" w:cs="宋体"/>
                <w:color w:val="auto"/>
                <w:kern w:val="0"/>
                <w:sz w:val="20"/>
                <w:szCs w:val="20"/>
              </w:rPr>
            </w:pPr>
          </w:p>
        </w:tc>
        <w:tc>
          <w:tcPr>
            <w:tcW w:w="885" w:type="dxa"/>
            <w:vMerge w:val="restart"/>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2.5.6</w:t>
            </w:r>
            <w:r>
              <w:rPr>
                <w:rFonts w:hint="eastAsia" w:ascii="宋体" w:hAnsi="宋体" w:cs="宋体"/>
                <w:color w:val="auto"/>
                <w:kern w:val="0"/>
                <w:sz w:val="20"/>
                <w:szCs w:val="20"/>
              </w:rPr>
              <w:br w:type="textWrapping"/>
            </w:r>
            <w:r>
              <w:rPr>
                <w:rFonts w:hint="eastAsia" w:ascii="宋体" w:hAnsi="宋体" w:cs="宋体"/>
                <w:color w:val="auto"/>
                <w:kern w:val="0"/>
                <w:sz w:val="20"/>
                <w:szCs w:val="20"/>
              </w:rPr>
              <w:t>钢丝绳端</w:t>
            </w:r>
            <w:r>
              <w:rPr>
                <w:rFonts w:hint="eastAsia" w:ascii="宋体" w:hAnsi="宋体" w:cs="宋体"/>
                <w:color w:val="auto"/>
                <w:kern w:val="0"/>
                <w:sz w:val="20"/>
                <w:szCs w:val="20"/>
              </w:rPr>
              <w:br w:type="textWrapping"/>
            </w:r>
            <w:r>
              <w:rPr>
                <w:rFonts w:hint="eastAsia" w:ascii="宋体" w:hAnsi="宋体" w:cs="宋体"/>
                <w:color w:val="auto"/>
                <w:kern w:val="0"/>
                <w:sz w:val="20"/>
                <w:szCs w:val="20"/>
              </w:rPr>
              <w:t>部固定</w:t>
            </w: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采用楔块、楔套连接时，楔套应用钢材制造。楔套不应有裂纹，楔块不应松动，紧固件齐全。钢丝绳在驱动卷筒上的绳端应采用楔形装置固定</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top"/>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5" w:type="dxa"/>
            <w:vMerge w:val="continue"/>
            <w:noWrap w:val="0"/>
            <w:vAlign w:val="top"/>
          </w:tcPr>
          <w:p>
            <w:pPr>
              <w:widowControl/>
              <w:jc w:val="center"/>
              <w:rPr>
                <w:rFonts w:hint="eastAsia" w:ascii="宋体" w:hAnsi="宋体" w:cs="宋体"/>
                <w:color w:val="auto"/>
                <w:kern w:val="0"/>
                <w:sz w:val="20"/>
                <w:szCs w:val="20"/>
              </w:rPr>
            </w:pPr>
          </w:p>
        </w:tc>
        <w:tc>
          <w:tcPr>
            <w:tcW w:w="668" w:type="dxa"/>
            <w:vMerge w:val="continue"/>
            <w:noWrap w:val="0"/>
            <w:vAlign w:val="top"/>
          </w:tcPr>
          <w:p>
            <w:pPr>
              <w:widowControl/>
              <w:jc w:val="center"/>
              <w:rPr>
                <w:rFonts w:hint="eastAsia" w:ascii="宋体" w:hAnsi="宋体" w:cs="宋体"/>
                <w:color w:val="auto"/>
                <w:kern w:val="0"/>
                <w:sz w:val="20"/>
                <w:szCs w:val="20"/>
              </w:rPr>
            </w:pPr>
          </w:p>
        </w:tc>
        <w:tc>
          <w:tcPr>
            <w:tcW w:w="885" w:type="dxa"/>
            <w:vMerge w:val="continue"/>
            <w:noWrap w:val="0"/>
            <w:vAlign w:val="center"/>
          </w:tcPr>
          <w:p>
            <w:pPr>
              <w:widowControl/>
              <w:jc w:val="center"/>
              <w:rPr>
                <w:rFonts w:hint="eastAsia" w:ascii="宋体" w:hAnsi="宋体" w:cs="宋体"/>
                <w:color w:val="auto"/>
                <w:kern w:val="0"/>
                <w:sz w:val="20"/>
                <w:szCs w:val="20"/>
              </w:rPr>
            </w:pP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采用压板固定时,压板数量不应少于2个,钢丝绳尾端的固定装置应有防松或自紧的性能</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olor w:val="auto"/>
              </w:rPr>
            </w:pPr>
            <w:r>
              <w:rPr>
                <w:rFonts w:hint="eastAsia" w:ascii="宋体" w:hAnsi="宋体"/>
                <w:color w:val="auto"/>
              </w:rPr>
              <w:t>√</w:t>
            </w:r>
          </w:p>
        </w:tc>
        <w:tc>
          <w:tcPr>
            <w:tcW w:w="1080" w:type="dxa"/>
            <w:noWrap w:val="0"/>
            <w:vAlign w:val="top"/>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5" w:type="dxa"/>
            <w:vMerge w:val="continue"/>
            <w:noWrap w:val="0"/>
            <w:vAlign w:val="top"/>
          </w:tcPr>
          <w:p>
            <w:pPr>
              <w:widowControl/>
              <w:jc w:val="center"/>
              <w:rPr>
                <w:rFonts w:hint="eastAsia" w:ascii="宋体" w:hAnsi="宋体" w:cs="宋体"/>
                <w:color w:val="auto"/>
                <w:kern w:val="0"/>
                <w:sz w:val="20"/>
                <w:szCs w:val="20"/>
              </w:rPr>
            </w:pPr>
          </w:p>
        </w:tc>
        <w:tc>
          <w:tcPr>
            <w:tcW w:w="668" w:type="dxa"/>
            <w:vMerge w:val="continue"/>
            <w:noWrap w:val="0"/>
            <w:vAlign w:val="top"/>
          </w:tcPr>
          <w:p>
            <w:pPr>
              <w:widowControl/>
              <w:jc w:val="center"/>
              <w:rPr>
                <w:rFonts w:hint="eastAsia" w:ascii="宋体" w:hAnsi="宋体" w:cs="宋体"/>
                <w:color w:val="auto"/>
                <w:kern w:val="0"/>
                <w:sz w:val="20"/>
                <w:szCs w:val="20"/>
              </w:rPr>
            </w:pPr>
          </w:p>
        </w:tc>
        <w:tc>
          <w:tcPr>
            <w:tcW w:w="885" w:type="dxa"/>
            <w:vMerge w:val="continue"/>
            <w:noWrap w:val="0"/>
            <w:vAlign w:val="center"/>
          </w:tcPr>
          <w:p>
            <w:pPr>
              <w:widowControl/>
              <w:jc w:val="center"/>
              <w:rPr>
                <w:rFonts w:hint="eastAsia" w:ascii="宋体" w:hAnsi="宋体" w:cs="宋体"/>
                <w:color w:val="auto"/>
                <w:kern w:val="0"/>
                <w:sz w:val="20"/>
                <w:szCs w:val="20"/>
              </w:rPr>
            </w:pP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采用金属压制接头固定时,接头不应有裂纹。</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olor w:val="auto"/>
              </w:rPr>
            </w:pPr>
            <w:r>
              <w:rPr>
                <w:rFonts w:hint="eastAsia" w:ascii="宋体" w:hAnsi="宋体"/>
                <w:color w:val="auto"/>
              </w:rPr>
              <w:t>√</w:t>
            </w:r>
          </w:p>
        </w:tc>
        <w:tc>
          <w:tcPr>
            <w:tcW w:w="1080" w:type="dxa"/>
            <w:noWrap w:val="0"/>
            <w:vAlign w:val="top"/>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15" w:type="dxa"/>
            <w:vMerge w:val="continue"/>
            <w:noWrap w:val="0"/>
            <w:vAlign w:val="top"/>
          </w:tcPr>
          <w:p>
            <w:pPr>
              <w:widowControl/>
              <w:jc w:val="center"/>
              <w:rPr>
                <w:rFonts w:hint="eastAsia" w:ascii="宋体" w:hAnsi="宋体" w:cs="宋体"/>
                <w:color w:val="auto"/>
                <w:kern w:val="0"/>
                <w:sz w:val="20"/>
                <w:szCs w:val="20"/>
              </w:rPr>
            </w:pPr>
          </w:p>
        </w:tc>
        <w:tc>
          <w:tcPr>
            <w:tcW w:w="668" w:type="dxa"/>
            <w:vMerge w:val="continue"/>
            <w:noWrap w:val="0"/>
            <w:vAlign w:val="top"/>
          </w:tcPr>
          <w:p>
            <w:pPr>
              <w:widowControl/>
              <w:jc w:val="center"/>
              <w:rPr>
                <w:rFonts w:hint="eastAsia" w:ascii="宋体" w:hAnsi="宋体" w:cs="宋体"/>
                <w:color w:val="auto"/>
                <w:kern w:val="0"/>
                <w:sz w:val="20"/>
                <w:szCs w:val="20"/>
              </w:rPr>
            </w:pPr>
          </w:p>
        </w:tc>
        <w:tc>
          <w:tcPr>
            <w:tcW w:w="885" w:type="dxa"/>
            <w:vMerge w:val="continue"/>
            <w:noWrap w:val="0"/>
            <w:vAlign w:val="center"/>
          </w:tcPr>
          <w:p>
            <w:pPr>
              <w:widowControl/>
              <w:jc w:val="center"/>
              <w:rPr>
                <w:rFonts w:hint="eastAsia" w:ascii="宋体" w:hAnsi="宋体" w:cs="宋体"/>
                <w:color w:val="auto"/>
                <w:kern w:val="0"/>
                <w:sz w:val="20"/>
                <w:szCs w:val="20"/>
              </w:rPr>
            </w:pPr>
          </w:p>
        </w:tc>
        <w:tc>
          <w:tcPr>
            <w:tcW w:w="1785" w:type="dxa"/>
            <w:gridSpan w:val="3"/>
            <w:vMerge w:val="restart"/>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采用绳夹固定时，绳夹数量应符合右表规定，绳夹夹座应在钢丝绳长头一边，绳夹的间距不应小于钢丝绳直径的6倍。悬挂吊笼的钢丝绳端部不应采用绳夹固定的方式</w:t>
            </w:r>
          </w:p>
        </w:tc>
        <w:tc>
          <w:tcPr>
            <w:tcW w:w="1260" w:type="dxa"/>
            <w:gridSpan w:val="2"/>
            <w:noWrap w:val="0"/>
            <w:vAlign w:val="center"/>
          </w:tcPr>
          <w:p>
            <w:pPr>
              <w:jc w:val="center"/>
              <w:rPr>
                <w:rFonts w:hint="eastAsia" w:ascii="宋体" w:hAnsi="宋体"/>
                <w:color w:val="auto"/>
              </w:rPr>
            </w:pPr>
            <w:r>
              <w:rPr>
                <w:rFonts w:hint="eastAsia" w:ascii="宋体" w:hAnsi="宋体"/>
                <w:color w:val="auto"/>
              </w:rPr>
              <w:t>钢丝绳公称直径（mm）</w:t>
            </w:r>
          </w:p>
        </w:tc>
        <w:tc>
          <w:tcPr>
            <w:tcW w:w="1155" w:type="dxa"/>
            <w:gridSpan w:val="2"/>
            <w:noWrap w:val="0"/>
            <w:vAlign w:val="center"/>
          </w:tcPr>
          <w:p>
            <w:pPr>
              <w:widowControl/>
              <w:ind w:left="525" w:hanging="525" w:hangingChars="250"/>
              <w:jc w:val="left"/>
              <w:rPr>
                <w:rFonts w:hint="eastAsia"/>
                <w:color w:val="auto"/>
              </w:rPr>
            </w:pPr>
            <w:r>
              <w:rPr>
                <w:rFonts w:hint="eastAsia"/>
                <w:color w:val="auto"/>
              </w:rPr>
              <w:t>钢丝绳夹最</w:t>
            </w:r>
          </w:p>
          <w:p>
            <w:pPr>
              <w:widowControl/>
              <w:ind w:left="525" w:hanging="525" w:hangingChars="250"/>
              <w:jc w:val="left"/>
              <w:rPr>
                <w:rFonts w:hint="eastAsia" w:ascii="宋体" w:hAnsi="宋体" w:cs="宋体"/>
                <w:color w:val="auto"/>
                <w:kern w:val="0"/>
                <w:sz w:val="20"/>
                <w:szCs w:val="20"/>
              </w:rPr>
            </w:pPr>
            <w:r>
              <w:rPr>
                <w:rFonts w:hint="eastAsia"/>
                <w:color w:val="auto"/>
              </w:rPr>
              <w:t>少量(个</w:t>
            </w:r>
            <w:r>
              <w:rPr>
                <w:rFonts w:hint="eastAsia" w:ascii="宋体" w:hAnsi="宋体" w:cs="宋体"/>
                <w:color w:val="auto"/>
                <w:kern w:val="0"/>
                <w:sz w:val="20"/>
                <w:szCs w:val="20"/>
              </w:rPr>
              <w:t>)</w:t>
            </w:r>
          </w:p>
        </w:tc>
        <w:tc>
          <w:tcPr>
            <w:tcW w:w="1230" w:type="dxa"/>
            <w:vMerge w:val="restart"/>
            <w:noWrap w:val="0"/>
            <w:vAlign w:val="center"/>
          </w:tcPr>
          <w:p>
            <w:pPr>
              <w:widowControl/>
              <w:jc w:val="center"/>
              <w:rPr>
                <w:rFonts w:ascii="宋体" w:hAnsi="宋体" w:cs="宋体"/>
                <w:color w:val="auto"/>
                <w:kern w:val="0"/>
                <w:sz w:val="20"/>
                <w:szCs w:val="20"/>
              </w:rPr>
            </w:pPr>
          </w:p>
        </w:tc>
        <w:tc>
          <w:tcPr>
            <w:tcW w:w="1125" w:type="dxa"/>
            <w:vMerge w:val="restart"/>
            <w:noWrap w:val="0"/>
            <w:vAlign w:val="center"/>
          </w:tcPr>
          <w:p>
            <w:pPr>
              <w:widowControl/>
              <w:jc w:val="center"/>
              <w:rPr>
                <w:rFonts w:ascii="宋体" w:hAnsi="宋体" w:cs="宋体"/>
                <w:color w:val="auto"/>
                <w:kern w:val="0"/>
                <w:sz w:val="20"/>
                <w:szCs w:val="20"/>
              </w:rPr>
            </w:pPr>
          </w:p>
        </w:tc>
        <w:tc>
          <w:tcPr>
            <w:tcW w:w="960" w:type="dxa"/>
            <w:vMerge w:val="restart"/>
            <w:noWrap w:val="0"/>
            <w:vAlign w:val="center"/>
          </w:tcPr>
          <w:p>
            <w:pPr>
              <w:widowControl/>
              <w:jc w:val="center"/>
              <w:rPr>
                <w:rFonts w:hint="eastAsia" w:ascii="宋体" w:hAnsi="宋体"/>
                <w:color w:val="auto"/>
              </w:rPr>
            </w:pPr>
            <w:r>
              <w:rPr>
                <w:rFonts w:hint="eastAsia" w:ascii="宋体" w:hAnsi="宋体"/>
                <w:color w:val="auto"/>
              </w:rPr>
              <w:t>√</w:t>
            </w:r>
          </w:p>
        </w:tc>
        <w:tc>
          <w:tcPr>
            <w:tcW w:w="1080" w:type="dxa"/>
            <w:vMerge w:val="restart"/>
            <w:noWrap w:val="0"/>
            <w:vAlign w:val="top"/>
          </w:tcPr>
          <w:p>
            <w:pPr>
              <w:widowControl/>
              <w:jc w:val="center"/>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15" w:type="dxa"/>
            <w:vMerge w:val="continue"/>
            <w:noWrap w:val="0"/>
            <w:vAlign w:val="top"/>
          </w:tcPr>
          <w:p>
            <w:pPr>
              <w:widowControl/>
              <w:jc w:val="left"/>
              <w:rPr>
                <w:color w:val="auto"/>
              </w:rPr>
            </w:pPr>
          </w:p>
        </w:tc>
        <w:tc>
          <w:tcPr>
            <w:tcW w:w="668" w:type="dxa"/>
            <w:vMerge w:val="continue"/>
            <w:noWrap w:val="0"/>
            <w:vAlign w:val="top"/>
          </w:tcPr>
          <w:p>
            <w:pPr>
              <w:widowControl/>
              <w:jc w:val="left"/>
              <w:rPr>
                <w:color w:val="auto"/>
              </w:rPr>
            </w:pPr>
          </w:p>
        </w:tc>
        <w:tc>
          <w:tcPr>
            <w:tcW w:w="885" w:type="dxa"/>
            <w:vMerge w:val="continue"/>
            <w:noWrap w:val="0"/>
            <w:vAlign w:val="center"/>
          </w:tcPr>
          <w:p>
            <w:pPr>
              <w:widowControl/>
              <w:jc w:val="left"/>
              <w:rPr>
                <w:color w:val="auto"/>
              </w:rPr>
            </w:pPr>
          </w:p>
        </w:tc>
        <w:tc>
          <w:tcPr>
            <w:tcW w:w="1785" w:type="dxa"/>
            <w:gridSpan w:val="3"/>
            <w:vMerge w:val="continue"/>
            <w:noWrap w:val="0"/>
            <w:vAlign w:val="center"/>
          </w:tcPr>
          <w:p>
            <w:pPr>
              <w:widowControl/>
              <w:jc w:val="left"/>
              <w:rPr>
                <w:color w:val="auto"/>
              </w:rPr>
            </w:pPr>
          </w:p>
        </w:tc>
        <w:tc>
          <w:tcPr>
            <w:tcW w:w="1260" w:type="dxa"/>
            <w:gridSpan w:val="2"/>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≤19</w:t>
            </w:r>
          </w:p>
        </w:tc>
        <w:tc>
          <w:tcPr>
            <w:tcW w:w="1155" w:type="dxa"/>
            <w:gridSpan w:val="2"/>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w:t>
            </w:r>
          </w:p>
        </w:tc>
        <w:tc>
          <w:tcPr>
            <w:tcW w:w="1230" w:type="dxa"/>
            <w:vMerge w:val="continue"/>
            <w:noWrap w:val="0"/>
            <w:vAlign w:val="center"/>
          </w:tcPr>
          <w:p>
            <w:pPr>
              <w:widowControl/>
              <w:jc w:val="left"/>
              <w:rPr>
                <w:color w:val="auto"/>
              </w:rPr>
            </w:pPr>
          </w:p>
        </w:tc>
        <w:tc>
          <w:tcPr>
            <w:tcW w:w="1125" w:type="dxa"/>
            <w:vMerge w:val="continue"/>
            <w:noWrap w:val="0"/>
            <w:vAlign w:val="center"/>
          </w:tcPr>
          <w:p>
            <w:pPr>
              <w:widowControl/>
              <w:jc w:val="left"/>
              <w:rPr>
                <w:color w:val="auto"/>
              </w:rPr>
            </w:pPr>
          </w:p>
        </w:tc>
        <w:tc>
          <w:tcPr>
            <w:tcW w:w="960" w:type="dxa"/>
            <w:vMerge w:val="continue"/>
            <w:noWrap w:val="0"/>
            <w:vAlign w:val="center"/>
          </w:tcPr>
          <w:p>
            <w:pPr>
              <w:widowControl/>
              <w:jc w:val="left"/>
              <w:rPr>
                <w:color w:val="auto"/>
              </w:rPr>
            </w:pPr>
          </w:p>
        </w:tc>
        <w:tc>
          <w:tcPr>
            <w:tcW w:w="1080" w:type="dxa"/>
            <w:vMerge w:val="continue"/>
            <w:noWrap w:val="0"/>
            <w:vAlign w:val="top"/>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15" w:type="dxa"/>
            <w:vMerge w:val="continue"/>
            <w:noWrap w:val="0"/>
            <w:vAlign w:val="top"/>
          </w:tcPr>
          <w:p>
            <w:pPr>
              <w:widowControl/>
              <w:jc w:val="left"/>
              <w:rPr>
                <w:color w:val="auto"/>
              </w:rPr>
            </w:pPr>
          </w:p>
        </w:tc>
        <w:tc>
          <w:tcPr>
            <w:tcW w:w="668" w:type="dxa"/>
            <w:vMerge w:val="continue"/>
            <w:noWrap w:val="0"/>
            <w:vAlign w:val="top"/>
          </w:tcPr>
          <w:p>
            <w:pPr>
              <w:widowControl/>
              <w:jc w:val="left"/>
              <w:rPr>
                <w:color w:val="auto"/>
              </w:rPr>
            </w:pPr>
          </w:p>
        </w:tc>
        <w:tc>
          <w:tcPr>
            <w:tcW w:w="885" w:type="dxa"/>
            <w:vMerge w:val="continue"/>
            <w:noWrap w:val="0"/>
            <w:vAlign w:val="center"/>
          </w:tcPr>
          <w:p>
            <w:pPr>
              <w:widowControl/>
              <w:jc w:val="left"/>
              <w:rPr>
                <w:color w:val="auto"/>
              </w:rPr>
            </w:pPr>
          </w:p>
        </w:tc>
        <w:tc>
          <w:tcPr>
            <w:tcW w:w="1785" w:type="dxa"/>
            <w:gridSpan w:val="3"/>
            <w:vMerge w:val="continue"/>
            <w:noWrap w:val="0"/>
            <w:vAlign w:val="center"/>
          </w:tcPr>
          <w:p>
            <w:pPr>
              <w:widowControl/>
              <w:jc w:val="left"/>
              <w:rPr>
                <w:color w:val="auto"/>
              </w:rPr>
            </w:pPr>
          </w:p>
        </w:tc>
        <w:tc>
          <w:tcPr>
            <w:tcW w:w="1260" w:type="dxa"/>
            <w:gridSpan w:val="2"/>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19～32</w:t>
            </w:r>
          </w:p>
        </w:tc>
        <w:tc>
          <w:tcPr>
            <w:tcW w:w="1155" w:type="dxa"/>
            <w:gridSpan w:val="2"/>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w:t>
            </w:r>
          </w:p>
        </w:tc>
        <w:tc>
          <w:tcPr>
            <w:tcW w:w="1230" w:type="dxa"/>
            <w:vMerge w:val="continue"/>
            <w:noWrap w:val="0"/>
            <w:vAlign w:val="center"/>
          </w:tcPr>
          <w:p>
            <w:pPr>
              <w:widowControl/>
              <w:jc w:val="left"/>
              <w:rPr>
                <w:color w:val="auto"/>
              </w:rPr>
            </w:pPr>
          </w:p>
        </w:tc>
        <w:tc>
          <w:tcPr>
            <w:tcW w:w="1125" w:type="dxa"/>
            <w:vMerge w:val="continue"/>
            <w:noWrap w:val="0"/>
            <w:vAlign w:val="center"/>
          </w:tcPr>
          <w:p>
            <w:pPr>
              <w:widowControl/>
              <w:jc w:val="left"/>
              <w:rPr>
                <w:color w:val="auto"/>
              </w:rPr>
            </w:pPr>
          </w:p>
        </w:tc>
        <w:tc>
          <w:tcPr>
            <w:tcW w:w="960" w:type="dxa"/>
            <w:vMerge w:val="continue"/>
            <w:noWrap w:val="0"/>
            <w:vAlign w:val="center"/>
          </w:tcPr>
          <w:p>
            <w:pPr>
              <w:widowControl/>
              <w:jc w:val="left"/>
              <w:rPr>
                <w:color w:val="auto"/>
              </w:rPr>
            </w:pPr>
          </w:p>
        </w:tc>
        <w:tc>
          <w:tcPr>
            <w:tcW w:w="1080" w:type="dxa"/>
            <w:vMerge w:val="continue"/>
            <w:noWrap w:val="0"/>
            <w:vAlign w:val="top"/>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15" w:type="dxa"/>
            <w:vMerge w:val="continue"/>
            <w:noWrap w:val="0"/>
            <w:vAlign w:val="top"/>
          </w:tcPr>
          <w:p>
            <w:pPr>
              <w:widowControl/>
              <w:jc w:val="left"/>
              <w:rPr>
                <w:color w:val="auto"/>
              </w:rPr>
            </w:pPr>
          </w:p>
        </w:tc>
        <w:tc>
          <w:tcPr>
            <w:tcW w:w="668" w:type="dxa"/>
            <w:vMerge w:val="continue"/>
            <w:noWrap w:val="0"/>
            <w:vAlign w:val="top"/>
          </w:tcPr>
          <w:p>
            <w:pPr>
              <w:widowControl/>
              <w:jc w:val="left"/>
              <w:rPr>
                <w:color w:val="auto"/>
              </w:rPr>
            </w:pPr>
          </w:p>
        </w:tc>
        <w:tc>
          <w:tcPr>
            <w:tcW w:w="885" w:type="dxa"/>
            <w:vMerge w:val="continue"/>
            <w:noWrap w:val="0"/>
            <w:vAlign w:val="center"/>
          </w:tcPr>
          <w:p>
            <w:pPr>
              <w:widowControl/>
              <w:jc w:val="left"/>
              <w:rPr>
                <w:color w:val="auto"/>
              </w:rPr>
            </w:pPr>
          </w:p>
        </w:tc>
        <w:tc>
          <w:tcPr>
            <w:tcW w:w="1785" w:type="dxa"/>
            <w:gridSpan w:val="3"/>
            <w:vMerge w:val="continue"/>
            <w:noWrap w:val="0"/>
            <w:vAlign w:val="center"/>
          </w:tcPr>
          <w:p>
            <w:pPr>
              <w:widowControl/>
              <w:jc w:val="left"/>
              <w:rPr>
                <w:color w:val="auto"/>
              </w:rPr>
            </w:pPr>
          </w:p>
        </w:tc>
        <w:tc>
          <w:tcPr>
            <w:tcW w:w="1260" w:type="dxa"/>
            <w:gridSpan w:val="2"/>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32～38</w:t>
            </w:r>
          </w:p>
        </w:tc>
        <w:tc>
          <w:tcPr>
            <w:tcW w:w="1155" w:type="dxa"/>
            <w:gridSpan w:val="2"/>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w:t>
            </w:r>
          </w:p>
        </w:tc>
        <w:tc>
          <w:tcPr>
            <w:tcW w:w="1230" w:type="dxa"/>
            <w:vMerge w:val="continue"/>
            <w:noWrap w:val="0"/>
            <w:vAlign w:val="center"/>
          </w:tcPr>
          <w:p>
            <w:pPr>
              <w:widowControl/>
              <w:jc w:val="left"/>
              <w:rPr>
                <w:color w:val="auto"/>
              </w:rPr>
            </w:pPr>
          </w:p>
        </w:tc>
        <w:tc>
          <w:tcPr>
            <w:tcW w:w="1125" w:type="dxa"/>
            <w:vMerge w:val="continue"/>
            <w:noWrap w:val="0"/>
            <w:vAlign w:val="center"/>
          </w:tcPr>
          <w:p>
            <w:pPr>
              <w:widowControl/>
              <w:jc w:val="left"/>
              <w:rPr>
                <w:color w:val="auto"/>
              </w:rPr>
            </w:pPr>
          </w:p>
        </w:tc>
        <w:tc>
          <w:tcPr>
            <w:tcW w:w="960" w:type="dxa"/>
            <w:vMerge w:val="continue"/>
            <w:noWrap w:val="0"/>
            <w:vAlign w:val="center"/>
          </w:tcPr>
          <w:p>
            <w:pPr>
              <w:widowControl/>
              <w:jc w:val="left"/>
              <w:rPr>
                <w:color w:val="auto"/>
              </w:rPr>
            </w:pPr>
          </w:p>
        </w:tc>
        <w:tc>
          <w:tcPr>
            <w:tcW w:w="1080" w:type="dxa"/>
            <w:vMerge w:val="continue"/>
            <w:noWrap w:val="0"/>
            <w:vAlign w:val="top"/>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15" w:type="dxa"/>
            <w:vMerge w:val="continue"/>
            <w:noWrap w:val="0"/>
            <w:vAlign w:val="top"/>
          </w:tcPr>
          <w:p>
            <w:pPr>
              <w:widowControl/>
              <w:jc w:val="left"/>
              <w:rPr>
                <w:color w:val="auto"/>
              </w:rPr>
            </w:pPr>
          </w:p>
        </w:tc>
        <w:tc>
          <w:tcPr>
            <w:tcW w:w="668" w:type="dxa"/>
            <w:vMerge w:val="continue"/>
            <w:noWrap w:val="0"/>
            <w:vAlign w:val="top"/>
          </w:tcPr>
          <w:p>
            <w:pPr>
              <w:widowControl/>
              <w:jc w:val="left"/>
              <w:rPr>
                <w:color w:val="auto"/>
              </w:rPr>
            </w:pPr>
          </w:p>
        </w:tc>
        <w:tc>
          <w:tcPr>
            <w:tcW w:w="885" w:type="dxa"/>
            <w:vMerge w:val="continue"/>
            <w:noWrap w:val="0"/>
            <w:vAlign w:val="center"/>
          </w:tcPr>
          <w:p>
            <w:pPr>
              <w:widowControl/>
              <w:jc w:val="left"/>
              <w:rPr>
                <w:color w:val="auto"/>
              </w:rPr>
            </w:pPr>
          </w:p>
        </w:tc>
        <w:tc>
          <w:tcPr>
            <w:tcW w:w="1785" w:type="dxa"/>
            <w:gridSpan w:val="3"/>
            <w:vMerge w:val="continue"/>
            <w:noWrap w:val="0"/>
            <w:vAlign w:val="center"/>
          </w:tcPr>
          <w:p>
            <w:pPr>
              <w:widowControl/>
              <w:jc w:val="left"/>
              <w:rPr>
                <w:color w:val="auto"/>
              </w:rPr>
            </w:pPr>
          </w:p>
        </w:tc>
        <w:tc>
          <w:tcPr>
            <w:tcW w:w="1260" w:type="dxa"/>
            <w:gridSpan w:val="2"/>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38～44</w:t>
            </w:r>
          </w:p>
        </w:tc>
        <w:tc>
          <w:tcPr>
            <w:tcW w:w="1155" w:type="dxa"/>
            <w:gridSpan w:val="2"/>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w:t>
            </w:r>
          </w:p>
        </w:tc>
        <w:tc>
          <w:tcPr>
            <w:tcW w:w="1230" w:type="dxa"/>
            <w:vMerge w:val="continue"/>
            <w:noWrap w:val="0"/>
            <w:vAlign w:val="center"/>
          </w:tcPr>
          <w:p>
            <w:pPr>
              <w:widowControl/>
              <w:jc w:val="left"/>
              <w:rPr>
                <w:color w:val="auto"/>
              </w:rPr>
            </w:pPr>
          </w:p>
        </w:tc>
        <w:tc>
          <w:tcPr>
            <w:tcW w:w="1125" w:type="dxa"/>
            <w:vMerge w:val="continue"/>
            <w:noWrap w:val="0"/>
            <w:vAlign w:val="center"/>
          </w:tcPr>
          <w:p>
            <w:pPr>
              <w:widowControl/>
              <w:jc w:val="left"/>
              <w:rPr>
                <w:color w:val="auto"/>
              </w:rPr>
            </w:pPr>
          </w:p>
        </w:tc>
        <w:tc>
          <w:tcPr>
            <w:tcW w:w="960" w:type="dxa"/>
            <w:vMerge w:val="continue"/>
            <w:noWrap w:val="0"/>
            <w:vAlign w:val="center"/>
          </w:tcPr>
          <w:p>
            <w:pPr>
              <w:widowControl/>
              <w:jc w:val="left"/>
              <w:rPr>
                <w:color w:val="auto"/>
              </w:rPr>
            </w:pPr>
          </w:p>
        </w:tc>
        <w:tc>
          <w:tcPr>
            <w:tcW w:w="1080" w:type="dxa"/>
            <w:vMerge w:val="continue"/>
            <w:noWrap w:val="0"/>
            <w:vAlign w:val="top"/>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15" w:type="dxa"/>
            <w:vMerge w:val="continue"/>
            <w:noWrap w:val="0"/>
            <w:vAlign w:val="top"/>
          </w:tcPr>
          <w:p>
            <w:pPr>
              <w:widowControl/>
              <w:jc w:val="left"/>
              <w:rPr>
                <w:color w:val="auto"/>
              </w:rPr>
            </w:pPr>
          </w:p>
        </w:tc>
        <w:tc>
          <w:tcPr>
            <w:tcW w:w="668" w:type="dxa"/>
            <w:vMerge w:val="continue"/>
            <w:noWrap w:val="0"/>
            <w:vAlign w:val="top"/>
          </w:tcPr>
          <w:p>
            <w:pPr>
              <w:widowControl/>
              <w:jc w:val="left"/>
              <w:rPr>
                <w:color w:val="auto"/>
              </w:rPr>
            </w:pPr>
          </w:p>
        </w:tc>
        <w:tc>
          <w:tcPr>
            <w:tcW w:w="885" w:type="dxa"/>
            <w:vMerge w:val="continue"/>
            <w:noWrap w:val="0"/>
            <w:vAlign w:val="center"/>
          </w:tcPr>
          <w:p>
            <w:pPr>
              <w:widowControl/>
              <w:jc w:val="left"/>
              <w:rPr>
                <w:color w:val="auto"/>
              </w:rPr>
            </w:pPr>
          </w:p>
        </w:tc>
        <w:tc>
          <w:tcPr>
            <w:tcW w:w="1785" w:type="dxa"/>
            <w:gridSpan w:val="3"/>
            <w:vMerge w:val="continue"/>
            <w:noWrap w:val="0"/>
            <w:vAlign w:val="center"/>
          </w:tcPr>
          <w:p>
            <w:pPr>
              <w:widowControl/>
              <w:jc w:val="left"/>
              <w:rPr>
                <w:color w:val="auto"/>
              </w:rPr>
            </w:pPr>
          </w:p>
        </w:tc>
        <w:tc>
          <w:tcPr>
            <w:tcW w:w="1260" w:type="dxa"/>
            <w:gridSpan w:val="2"/>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44～60</w:t>
            </w:r>
          </w:p>
        </w:tc>
        <w:tc>
          <w:tcPr>
            <w:tcW w:w="1155" w:type="dxa"/>
            <w:gridSpan w:val="2"/>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7</w:t>
            </w:r>
          </w:p>
        </w:tc>
        <w:tc>
          <w:tcPr>
            <w:tcW w:w="1230" w:type="dxa"/>
            <w:vMerge w:val="continue"/>
            <w:noWrap w:val="0"/>
            <w:vAlign w:val="center"/>
          </w:tcPr>
          <w:p>
            <w:pPr>
              <w:widowControl/>
              <w:jc w:val="left"/>
              <w:rPr>
                <w:color w:val="auto"/>
              </w:rPr>
            </w:pPr>
          </w:p>
        </w:tc>
        <w:tc>
          <w:tcPr>
            <w:tcW w:w="1125" w:type="dxa"/>
            <w:vMerge w:val="continue"/>
            <w:noWrap w:val="0"/>
            <w:vAlign w:val="center"/>
          </w:tcPr>
          <w:p>
            <w:pPr>
              <w:widowControl/>
              <w:jc w:val="left"/>
              <w:rPr>
                <w:color w:val="auto"/>
              </w:rPr>
            </w:pPr>
          </w:p>
        </w:tc>
        <w:tc>
          <w:tcPr>
            <w:tcW w:w="960" w:type="dxa"/>
            <w:vMerge w:val="continue"/>
            <w:noWrap w:val="0"/>
            <w:vAlign w:val="center"/>
          </w:tcPr>
          <w:p>
            <w:pPr>
              <w:widowControl/>
              <w:jc w:val="left"/>
              <w:rPr>
                <w:color w:val="auto"/>
              </w:rPr>
            </w:pPr>
          </w:p>
        </w:tc>
        <w:tc>
          <w:tcPr>
            <w:tcW w:w="1080" w:type="dxa"/>
            <w:vMerge w:val="continue"/>
            <w:noWrap w:val="0"/>
            <w:vAlign w:val="top"/>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615" w:type="dxa"/>
            <w:noWrap w:val="0"/>
            <w:vAlign w:val="top"/>
          </w:tcPr>
          <w:p>
            <w:pPr>
              <w:widowControl/>
              <w:jc w:val="left"/>
              <w:rPr>
                <w:color w:val="auto"/>
              </w:rPr>
            </w:pPr>
            <w:r>
              <w:rPr>
                <w:rFonts w:hint="eastAsia"/>
                <w:color w:val="auto"/>
              </w:rPr>
              <w:t>70</w:t>
            </w:r>
          </w:p>
        </w:tc>
        <w:tc>
          <w:tcPr>
            <w:tcW w:w="668" w:type="dxa"/>
            <w:noWrap w:val="0"/>
            <w:vAlign w:val="top"/>
          </w:tcPr>
          <w:p>
            <w:pPr>
              <w:widowControl/>
              <w:jc w:val="left"/>
              <w:rPr>
                <w:color w:val="auto"/>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2.5.7</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张力平衡</w:t>
            </w:r>
            <w:r>
              <w:rPr>
                <w:rFonts w:hint="eastAsia" w:ascii="宋体" w:hAnsi="宋体" w:cs="宋体"/>
                <w:color w:val="auto"/>
                <w:kern w:val="0"/>
                <w:sz w:val="20"/>
                <w:szCs w:val="20"/>
              </w:rPr>
              <w:br w:type="textWrapping"/>
            </w:r>
            <w:r>
              <w:rPr>
                <w:rFonts w:hint="eastAsia" w:ascii="宋体" w:hAnsi="宋体" w:cs="宋体"/>
                <w:color w:val="auto"/>
                <w:kern w:val="0"/>
                <w:sz w:val="20"/>
                <w:szCs w:val="20"/>
              </w:rPr>
              <w:t>装置</w:t>
            </w: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至少在悬挂钢丝绳的一端应设有一个调节装置用来平衡各绳的张力</w:t>
            </w:r>
          </w:p>
        </w:tc>
        <w:tc>
          <w:tcPr>
            <w:tcW w:w="1230" w:type="dxa"/>
            <w:noWrap w:val="0"/>
            <w:vAlign w:val="center"/>
          </w:tcPr>
          <w:p>
            <w:pPr>
              <w:widowControl/>
              <w:jc w:val="left"/>
              <w:rPr>
                <w:color w:val="auto"/>
              </w:rPr>
            </w:pPr>
          </w:p>
        </w:tc>
        <w:tc>
          <w:tcPr>
            <w:tcW w:w="1125" w:type="dxa"/>
            <w:noWrap w:val="0"/>
            <w:vAlign w:val="center"/>
          </w:tcPr>
          <w:p>
            <w:pPr>
              <w:widowControl/>
              <w:jc w:val="left"/>
              <w:rPr>
                <w:color w:val="auto"/>
              </w:rPr>
            </w:pPr>
          </w:p>
        </w:tc>
        <w:tc>
          <w:tcPr>
            <w:tcW w:w="960" w:type="dxa"/>
            <w:noWrap w:val="0"/>
            <w:vAlign w:val="center"/>
          </w:tcPr>
          <w:p>
            <w:pPr>
              <w:widowControl/>
              <w:jc w:val="left"/>
              <w:rPr>
                <w:color w:val="auto"/>
              </w:rPr>
            </w:pPr>
          </w:p>
        </w:tc>
        <w:tc>
          <w:tcPr>
            <w:tcW w:w="1080" w:type="dxa"/>
            <w:noWrap w:val="0"/>
            <w:vAlign w:val="top"/>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15" w:type="dxa"/>
            <w:vMerge w:val="restart"/>
            <w:noWrap w:val="0"/>
            <w:vAlign w:val="top"/>
          </w:tcPr>
          <w:p>
            <w:pPr>
              <w:widowControl/>
              <w:jc w:val="left"/>
              <w:rPr>
                <w:color w:val="auto"/>
              </w:rPr>
            </w:pPr>
            <w:r>
              <w:rPr>
                <w:rFonts w:hint="eastAsia"/>
                <w:color w:val="auto"/>
              </w:rPr>
              <w:t>71</w:t>
            </w:r>
          </w:p>
        </w:tc>
        <w:tc>
          <w:tcPr>
            <w:tcW w:w="668" w:type="dxa"/>
            <w:vMerge w:val="restart"/>
            <w:noWrap w:val="0"/>
            <w:vAlign w:val="center"/>
          </w:tcPr>
          <w:p>
            <w:pPr>
              <w:widowControl/>
              <w:jc w:val="center"/>
              <w:rPr>
                <w:color w:val="auto"/>
              </w:rPr>
            </w:pPr>
            <w:r>
              <w:rPr>
                <w:rFonts w:hint="eastAsia" w:ascii="宋体" w:hAnsi="宋体" w:cs="宋体"/>
                <w:color w:val="auto"/>
                <w:kern w:val="0"/>
                <w:sz w:val="20"/>
                <w:szCs w:val="20"/>
              </w:rPr>
              <w:t>2.5</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机构及零部件</w:t>
            </w:r>
          </w:p>
        </w:tc>
        <w:tc>
          <w:tcPr>
            <w:tcW w:w="885" w:type="dxa"/>
            <w:vMerge w:val="restart"/>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2.5.8</w:t>
            </w:r>
          </w:p>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钢丝绳排列及安全圈数</w:t>
            </w: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钢丝绳在卷筒上应排列整齐。卷筒上钢丝绳只允许绕一层；若使用自动绕绳系统，允许绕两层</w:t>
            </w:r>
          </w:p>
        </w:tc>
        <w:tc>
          <w:tcPr>
            <w:tcW w:w="1230" w:type="dxa"/>
            <w:noWrap w:val="0"/>
            <w:vAlign w:val="center"/>
          </w:tcPr>
          <w:p>
            <w:pPr>
              <w:widowControl/>
              <w:jc w:val="left"/>
              <w:rPr>
                <w:color w:val="auto"/>
              </w:rPr>
            </w:pPr>
          </w:p>
        </w:tc>
        <w:tc>
          <w:tcPr>
            <w:tcW w:w="1125" w:type="dxa"/>
            <w:noWrap w:val="0"/>
            <w:vAlign w:val="center"/>
          </w:tcPr>
          <w:p>
            <w:pPr>
              <w:widowControl/>
              <w:jc w:val="left"/>
              <w:rPr>
                <w:color w:val="auto"/>
              </w:rPr>
            </w:pPr>
          </w:p>
        </w:tc>
        <w:tc>
          <w:tcPr>
            <w:tcW w:w="960" w:type="dxa"/>
            <w:noWrap w:val="0"/>
            <w:vAlign w:val="center"/>
          </w:tcPr>
          <w:p>
            <w:pPr>
              <w:widowControl/>
              <w:jc w:val="left"/>
              <w:rPr>
                <w:color w:val="auto"/>
              </w:rPr>
            </w:pPr>
          </w:p>
        </w:tc>
        <w:tc>
          <w:tcPr>
            <w:tcW w:w="1080" w:type="dxa"/>
            <w:noWrap w:val="0"/>
            <w:vAlign w:val="top"/>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15" w:type="dxa"/>
            <w:vMerge w:val="continue"/>
            <w:noWrap w:val="0"/>
            <w:vAlign w:val="top"/>
          </w:tcPr>
          <w:p>
            <w:pPr>
              <w:widowControl/>
              <w:jc w:val="left"/>
              <w:rPr>
                <w:color w:val="auto"/>
              </w:rPr>
            </w:pPr>
          </w:p>
        </w:tc>
        <w:tc>
          <w:tcPr>
            <w:tcW w:w="668" w:type="dxa"/>
            <w:vMerge w:val="continue"/>
            <w:noWrap w:val="0"/>
            <w:vAlign w:val="top"/>
          </w:tcPr>
          <w:p>
            <w:pPr>
              <w:widowControl/>
              <w:jc w:val="left"/>
              <w:rPr>
                <w:color w:val="auto"/>
              </w:rPr>
            </w:pPr>
          </w:p>
        </w:tc>
        <w:tc>
          <w:tcPr>
            <w:tcW w:w="885" w:type="dxa"/>
            <w:vMerge w:val="continue"/>
            <w:noWrap w:val="0"/>
            <w:vAlign w:val="center"/>
          </w:tcPr>
          <w:p>
            <w:pPr>
              <w:widowControl/>
              <w:jc w:val="center"/>
              <w:rPr>
                <w:rFonts w:hint="eastAsia" w:ascii="宋体" w:hAnsi="宋体" w:cs="宋体"/>
                <w:color w:val="auto"/>
                <w:kern w:val="0"/>
                <w:sz w:val="20"/>
                <w:szCs w:val="20"/>
              </w:rPr>
            </w:pP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当吊笼停止在最低位置时，留在卷筒上的钢丝绳不应少于3圈</w:t>
            </w:r>
          </w:p>
        </w:tc>
        <w:tc>
          <w:tcPr>
            <w:tcW w:w="1230" w:type="dxa"/>
            <w:noWrap w:val="0"/>
            <w:vAlign w:val="center"/>
          </w:tcPr>
          <w:p>
            <w:pPr>
              <w:widowControl/>
              <w:jc w:val="left"/>
              <w:rPr>
                <w:color w:val="auto"/>
              </w:rPr>
            </w:pPr>
          </w:p>
        </w:tc>
        <w:tc>
          <w:tcPr>
            <w:tcW w:w="1125" w:type="dxa"/>
            <w:noWrap w:val="0"/>
            <w:vAlign w:val="center"/>
          </w:tcPr>
          <w:p>
            <w:pPr>
              <w:widowControl/>
              <w:jc w:val="left"/>
              <w:rPr>
                <w:color w:val="auto"/>
              </w:rPr>
            </w:pPr>
          </w:p>
        </w:tc>
        <w:tc>
          <w:tcPr>
            <w:tcW w:w="960" w:type="dxa"/>
            <w:noWrap w:val="0"/>
            <w:vAlign w:val="center"/>
          </w:tcPr>
          <w:p>
            <w:pPr>
              <w:widowControl/>
              <w:jc w:val="left"/>
              <w:rPr>
                <w:color w:val="auto"/>
              </w:rPr>
            </w:pPr>
          </w:p>
        </w:tc>
        <w:tc>
          <w:tcPr>
            <w:tcW w:w="1080" w:type="dxa"/>
            <w:noWrap w:val="0"/>
            <w:vAlign w:val="top"/>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★72</w:t>
            </w:r>
          </w:p>
        </w:tc>
        <w:tc>
          <w:tcPr>
            <w:tcW w:w="668" w:type="dxa"/>
            <w:vMerge w:val="continue"/>
            <w:noWrap w:val="0"/>
            <w:vAlign w:val="top"/>
          </w:tcPr>
          <w:p>
            <w:pPr>
              <w:widowControl/>
              <w:jc w:val="left"/>
              <w:rPr>
                <w:color w:val="auto"/>
              </w:rPr>
            </w:pPr>
          </w:p>
        </w:tc>
        <w:tc>
          <w:tcPr>
            <w:tcW w:w="885" w:type="dxa"/>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2.5.9</w:t>
            </w:r>
            <w:r>
              <w:rPr>
                <w:rFonts w:hint="eastAsia" w:ascii="宋体" w:hAnsi="宋体" w:cs="宋体"/>
                <w:color w:val="auto"/>
                <w:kern w:val="0"/>
                <w:sz w:val="20"/>
                <w:szCs w:val="20"/>
              </w:rPr>
              <w:br w:type="textWrapping"/>
            </w:r>
            <w:r>
              <w:rPr>
                <w:rFonts w:hint="eastAsia" w:ascii="宋体" w:hAnsi="宋体" w:cs="宋体"/>
                <w:color w:val="auto"/>
                <w:kern w:val="0"/>
                <w:sz w:val="20"/>
                <w:szCs w:val="20"/>
              </w:rPr>
              <w:t>钢丝绳</w:t>
            </w:r>
          </w:p>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缺陷</w:t>
            </w: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钢丝绳不得编织接长，且不应存有下列缺陷：</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绳股断裂；(2)扭结；(3)压扁；(4)弯折；(5)波浪形变形；(6)笼状畸变；(7)绳股挤出；(8)钢丝挤出；(9)绳径局部增大；(10)绳径减小，钢丝绳直径相对于公称直径减小达7%或更多时；(11)外部腐蚀；(12)内部腐蚀；(13)热力作用损坏；(14)严重断丝，绳端断丝，断丝的局部聚集</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钢丝绳达报废标准的</w:t>
            </w:r>
          </w:p>
        </w:tc>
        <w:tc>
          <w:tcPr>
            <w:tcW w:w="1080" w:type="dxa"/>
            <w:noWrap w:val="0"/>
            <w:vAlign w:val="top"/>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73</w:t>
            </w:r>
          </w:p>
        </w:tc>
        <w:tc>
          <w:tcPr>
            <w:tcW w:w="668" w:type="dxa"/>
            <w:vMerge w:val="continue"/>
            <w:noWrap w:val="0"/>
            <w:vAlign w:val="top"/>
          </w:tcPr>
          <w:p>
            <w:pPr>
              <w:widowControl/>
              <w:jc w:val="left"/>
              <w:rPr>
                <w:color w:val="auto"/>
              </w:rPr>
            </w:pPr>
          </w:p>
        </w:tc>
        <w:tc>
          <w:tcPr>
            <w:tcW w:w="885" w:type="dxa"/>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2.5.10</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滑轮缺陷</w:t>
            </w: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滑轮应转动良好，不应存有下列缺陷：</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(1)裂纹；(2)轮缘破损；(3)绳槽壁厚过度磨损；(4)滑轮槽底过度磨损</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top"/>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15" w:type="dxa"/>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74</w:t>
            </w:r>
          </w:p>
        </w:tc>
        <w:tc>
          <w:tcPr>
            <w:tcW w:w="668" w:type="dxa"/>
            <w:vMerge w:val="continue"/>
            <w:noWrap w:val="0"/>
            <w:vAlign w:val="top"/>
          </w:tcPr>
          <w:p>
            <w:pPr>
              <w:widowControl/>
              <w:jc w:val="left"/>
              <w:rPr>
                <w:color w:val="auto"/>
              </w:rPr>
            </w:pPr>
          </w:p>
        </w:tc>
        <w:tc>
          <w:tcPr>
            <w:tcW w:w="885" w:type="dxa"/>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2.5.11</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卷筒缺陷</w:t>
            </w: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卷筒不应存有下列缺陷：</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(1)裂纹；(2)轮缘破损；(3)卷筒壁厚过度磨损</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top"/>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15" w:type="dxa"/>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75</w:t>
            </w:r>
          </w:p>
        </w:tc>
        <w:tc>
          <w:tcPr>
            <w:tcW w:w="668" w:type="dxa"/>
            <w:vMerge w:val="continue"/>
            <w:noWrap w:val="0"/>
            <w:vAlign w:val="top"/>
          </w:tcPr>
          <w:p>
            <w:pPr>
              <w:widowControl/>
              <w:jc w:val="left"/>
              <w:rPr>
                <w:color w:val="auto"/>
              </w:rPr>
            </w:pPr>
          </w:p>
        </w:tc>
        <w:tc>
          <w:tcPr>
            <w:tcW w:w="88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2.5.12</w:t>
            </w:r>
          </w:p>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曳引轮缺陷</w:t>
            </w: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曳引轮轮槽不应有严重不均匀磨损，磨损不应改变槽形</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top"/>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15" w:type="dxa"/>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★76</w:t>
            </w:r>
          </w:p>
        </w:tc>
        <w:tc>
          <w:tcPr>
            <w:tcW w:w="668" w:type="dxa"/>
            <w:vMerge w:val="continue"/>
            <w:noWrap w:val="0"/>
            <w:vAlign w:val="top"/>
          </w:tcPr>
          <w:p>
            <w:pPr>
              <w:widowControl/>
              <w:jc w:val="left"/>
              <w:rPr>
                <w:color w:val="auto"/>
              </w:rPr>
            </w:pPr>
          </w:p>
        </w:tc>
        <w:tc>
          <w:tcPr>
            <w:tcW w:w="885" w:type="dxa"/>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2.5.13</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制动器缺陷</w:t>
            </w: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制动器不应存有下列缺陷：</w:t>
            </w:r>
            <w:r>
              <w:rPr>
                <w:rFonts w:hint="eastAsia" w:ascii="宋体" w:hAnsi="宋体" w:cs="宋体"/>
                <w:color w:val="auto"/>
                <w:kern w:val="0"/>
                <w:sz w:val="20"/>
                <w:szCs w:val="20"/>
              </w:rPr>
              <w:br w:type="textWrapping"/>
            </w:r>
            <w:r>
              <w:rPr>
                <w:rFonts w:hint="eastAsia" w:ascii="宋体" w:hAnsi="宋体" w:cs="宋体"/>
                <w:color w:val="auto"/>
                <w:kern w:val="0"/>
                <w:sz w:val="20"/>
                <w:szCs w:val="20"/>
              </w:rPr>
              <w:t>(1)可见裂纹；(2)制动块摩擦衬垫磨损量达原厚度的50%；(3)制动轮表面凹凸不平度达1.5mm；(4)制动弹簧塑性变形量达到其工作变形量的10%以上；(5)缺件；(6)制动器的助推器漏油；(7)液压制动器漏油</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制动器磨损量达报废标准的，失效的</w:t>
            </w:r>
          </w:p>
        </w:tc>
        <w:tc>
          <w:tcPr>
            <w:tcW w:w="960" w:type="dxa"/>
            <w:noWrap w:val="0"/>
            <w:vAlign w:val="center"/>
          </w:tcPr>
          <w:p>
            <w:pPr>
              <w:widowControl/>
              <w:jc w:val="center"/>
              <w:rPr>
                <w:rFonts w:hint="eastAsia" w:ascii="宋体" w:hAnsi="宋体" w:cs="宋体"/>
                <w:color w:val="auto"/>
                <w:kern w:val="0"/>
                <w:sz w:val="20"/>
                <w:szCs w:val="20"/>
              </w:rPr>
            </w:pPr>
          </w:p>
        </w:tc>
        <w:tc>
          <w:tcPr>
            <w:tcW w:w="1080" w:type="dxa"/>
            <w:noWrap w:val="0"/>
            <w:vAlign w:val="top"/>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15" w:type="dxa"/>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77</w:t>
            </w:r>
          </w:p>
        </w:tc>
        <w:tc>
          <w:tcPr>
            <w:tcW w:w="668" w:type="dxa"/>
            <w:noWrap w:val="0"/>
            <w:vAlign w:val="top"/>
          </w:tcPr>
          <w:p>
            <w:pPr>
              <w:widowControl/>
              <w:jc w:val="left"/>
              <w:rPr>
                <w:color w:val="auto"/>
              </w:rPr>
            </w:pPr>
          </w:p>
        </w:tc>
        <w:tc>
          <w:tcPr>
            <w:tcW w:w="885" w:type="dxa"/>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2.6.1</w:t>
            </w:r>
            <w:r>
              <w:rPr>
                <w:rFonts w:hint="eastAsia" w:ascii="宋体" w:hAnsi="宋体" w:cs="宋体"/>
                <w:color w:val="auto"/>
                <w:kern w:val="0"/>
                <w:sz w:val="20"/>
                <w:szCs w:val="20"/>
              </w:rPr>
              <w:br w:type="textWrapping"/>
            </w:r>
            <w:r>
              <w:rPr>
                <w:rFonts w:hint="eastAsia" w:ascii="宋体" w:hAnsi="宋体" w:cs="宋体"/>
                <w:color w:val="auto"/>
                <w:kern w:val="0"/>
                <w:sz w:val="20"/>
                <w:szCs w:val="20"/>
              </w:rPr>
              <w:t>供电系统</w:t>
            </w: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施工升降机供电应采用TN-S接零保护系统，供电线路的零线应与施工升降机的接地线严格分开</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top"/>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15" w:type="dxa"/>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78</w:t>
            </w:r>
          </w:p>
        </w:tc>
        <w:tc>
          <w:tcPr>
            <w:tcW w:w="668" w:type="dxa"/>
            <w:noWrap w:val="0"/>
            <w:vAlign w:val="top"/>
          </w:tcPr>
          <w:p>
            <w:pPr>
              <w:widowControl/>
              <w:jc w:val="left"/>
              <w:rPr>
                <w:color w:val="auto"/>
              </w:rPr>
            </w:pPr>
          </w:p>
        </w:tc>
        <w:tc>
          <w:tcPr>
            <w:tcW w:w="885" w:type="dxa"/>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2.6.2</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开关箱</w:t>
            </w: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施工升降机必须设置专用的开关箱，开关箱应设在底架附近便于操作的位置。严禁用同一个开关箱直接控制2台或2台以上用电设备(含插座)</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top"/>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15" w:type="dxa"/>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79</w:t>
            </w:r>
          </w:p>
        </w:tc>
        <w:tc>
          <w:tcPr>
            <w:tcW w:w="668" w:type="dxa"/>
            <w:noWrap w:val="0"/>
            <w:vAlign w:val="top"/>
          </w:tcPr>
          <w:p>
            <w:pPr>
              <w:widowControl/>
              <w:jc w:val="left"/>
              <w:rPr>
                <w:color w:val="auto"/>
              </w:rPr>
            </w:pPr>
          </w:p>
        </w:tc>
        <w:tc>
          <w:tcPr>
            <w:tcW w:w="885" w:type="dxa"/>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2.6.3</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手动开关</w:t>
            </w: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施工升降机应设有主电路各相绝缘的手动开关，且应设在便于操作之处。开关手柄应为单向打开式,在“关”的位置上可以锁住</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top"/>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15" w:type="dxa"/>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80</w:t>
            </w:r>
          </w:p>
        </w:tc>
        <w:tc>
          <w:tcPr>
            <w:tcW w:w="668" w:type="dxa"/>
            <w:noWrap w:val="0"/>
            <w:vAlign w:val="top"/>
          </w:tcPr>
          <w:p>
            <w:pPr>
              <w:widowControl/>
              <w:jc w:val="left"/>
              <w:rPr>
                <w:color w:val="auto"/>
              </w:rPr>
            </w:pPr>
          </w:p>
        </w:tc>
        <w:tc>
          <w:tcPr>
            <w:tcW w:w="885" w:type="dxa"/>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2.6.4</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电缆敷设</w:t>
            </w: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施工升降机供电电缆应采用五芯电缆,所有电缆和电线的布线及安装应能防止机械损伤。电缆在吊笼运行中应自由拖行不受阻碍</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top"/>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15" w:type="dxa"/>
            <w:vMerge w:val="restart"/>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★81</w:t>
            </w:r>
          </w:p>
        </w:tc>
        <w:tc>
          <w:tcPr>
            <w:tcW w:w="668" w:type="dxa"/>
            <w:noWrap w:val="0"/>
            <w:vAlign w:val="top"/>
          </w:tcPr>
          <w:p>
            <w:pPr>
              <w:widowControl/>
              <w:jc w:val="left"/>
              <w:rPr>
                <w:color w:val="auto"/>
              </w:rPr>
            </w:pPr>
          </w:p>
        </w:tc>
        <w:tc>
          <w:tcPr>
            <w:tcW w:w="885" w:type="dxa"/>
            <w:vMerge w:val="restart"/>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2.6.5</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绝缘电阻</w:t>
            </w: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电气元件的对地绝缘电阻应≥0.5MΩ</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top"/>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15" w:type="dxa"/>
            <w:vMerge w:val="continue"/>
            <w:noWrap w:val="0"/>
            <w:vAlign w:val="center"/>
          </w:tcPr>
          <w:p>
            <w:pPr>
              <w:widowControl/>
              <w:jc w:val="center"/>
              <w:rPr>
                <w:rFonts w:hint="eastAsia" w:ascii="宋体" w:hAnsi="宋体" w:cs="宋体"/>
                <w:color w:val="auto"/>
                <w:kern w:val="0"/>
                <w:sz w:val="20"/>
                <w:szCs w:val="20"/>
              </w:rPr>
            </w:pPr>
          </w:p>
        </w:tc>
        <w:tc>
          <w:tcPr>
            <w:tcW w:w="668" w:type="dxa"/>
            <w:noWrap w:val="0"/>
            <w:vAlign w:val="top"/>
          </w:tcPr>
          <w:p>
            <w:pPr>
              <w:widowControl/>
              <w:jc w:val="left"/>
              <w:rPr>
                <w:color w:val="auto"/>
              </w:rPr>
            </w:pPr>
          </w:p>
        </w:tc>
        <w:tc>
          <w:tcPr>
            <w:tcW w:w="885" w:type="dxa"/>
            <w:vMerge w:val="continue"/>
            <w:noWrap w:val="0"/>
            <w:vAlign w:val="center"/>
          </w:tcPr>
          <w:p>
            <w:pPr>
              <w:widowControl/>
              <w:jc w:val="center"/>
              <w:rPr>
                <w:rFonts w:hint="eastAsia" w:ascii="宋体" w:hAnsi="宋体" w:cs="宋体"/>
                <w:color w:val="auto"/>
                <w:kern w:val="0"/>
                <w:sz w:val="20"/>
                <w:szCs w:val="20"/>
              </w:rPr>
            </w:pP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电气线路的对地绝缘电阻应≥1MΩ</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top"/>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15" w:type="dxa"/>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★82</w:t>
            </w:r>
          </w:p>
        </w:tc>
        <w:tc>
          <w:tcPr>
            <w:tcW w:w="668" w:type="dxa"/>
            <w:noWrap w:val="0"/>
            <w:vAlign w:val="top"/>
          </w:tcPr>
          <w:p>
            <w:pPr>
              <w:widowControl/>
              <w:jc w:val="left"/>
              <w:rPr>
                <w:color w:val="auto"/>
              </w:rPr>
            </w:pPr>
          </w:p>
        </w:tc>
        <w:tc>
          <w:tcPr>
            <w:tcW w:w="885" w:type="dxa"/>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2.6.6</w:t>
            </w:r>
            <w:r>
              <w:rPr>
                <w:rFonts w:hint="eastAsia" w:ascii="宋体" w:hAnsi="宋体" w:cs="宋体"/>
                <w:color w:val="auto"/>
                <w:kern w:val="0"/>
                <w:sz w:val="20"/>
                <w:szCs w:val="20"/>
              </w:rPr>
              <w:br w:type="textWrapping"/>
            </w:r>
            <w:r>
              <w:rPr>
                <w:rFonts w:hint="eastAsia" w:ascii="宋体" w:hAnsi="宋体" w:cs="宋体"/>
                <w:color w:val="auto"/>
                <w:kern w:val="0"/>
                <w:sz w:val="20"/>
                <w:szCs w:val="20"/>
              </w:rPr>
              <w:t>接地保护</w:t>
            </w: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施工升降机金属结构和所有电气设备的金属外壳、导线的金属保护管等均应可靠接地，接地电阻应≤4Ω；采用重复接地时，其接地电阻应≤10Ω</w:t>
            </w:r>
          </w:p>
        </w:tc>
        <w:tc>
          <w:tcPr>
            <w:tcW w:w="1230" w:type="dxa"/>
            <w:noWrap w:val="0"/>
            <w:vAlign w:val="top"/>
          </w:tcPr>
          <w:p>
            <w:pPr>
              <w:widowControl/>
              <w:jc w:val="center"/>
              <w:rPr>
                <w:rFonts w:ascii="宋体" w:hAnsi="宋体" w:cs="宋体"/>
                <w:color w:val="auto"/>
                <w:kern w:val="0"/>
                <w:sz w:val="20"/>
                <w:szCs w:val="20"/>
              </w:rPr>
            </w:pPr>
          </w:p>
        </w:tc>
        <w:tc>
          <w:tcPr>
            <w:tcW w:w="1125" w:type="dxa"/>
            <w:noWrap w:val="0"/>
            <w:vAlign w:val="top"/>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接地电阻值符合要求，电气设备外壳接地线未连接</w:t>
            </w:r>
          </w:p>
        </w:tc>
        <w:tc>
          <w:tcPr>
            <w:tcW w:w="1080" w:type="dxa"/>
            <w:noWrap w:val="0"/>
            <w:vAlign w:val="top"/>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15" w:type="dxa"/>
            <w:vMerge w:val="restart"/>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83</w:t>
            </w:r>
          </w:p>
        </w:tc>
        <w:tc>
          <w:tcPr>
            <w:tcW w:w="668" w:type="dxa"/>
            <w:noWrap w:val="0"/>
            <w:vAlign w:val="top"/>
          </w:tcPr>
          <w:p>
            <w:pPr>
              <w:widowControl/>
              <w:jc w:val="left"/>
              <w:rPr>
                <w:color w:val="auto"/>
              </w:rPr>
            </w:pPr>
          </w:p>
        </w:tc>
        <w:tc>
          <w:tcPr>
            <w:tcW w:w="885" w:type="dxa"/>
            <w:vMerge w:val="restart"/>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2.6.7</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吊笼照明</w:t>
            </w: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吊笼内应设有永久性的电气照明，只要施工升降机在工作，吊笼内都应有照明</w:t>
            </w:r>
          </w:p>
        </w:tc>
        <w:tc>
          <w:tcPr>
            <w:tcW w:w="1230" w:type="dxa"/>
            <w:noWrap w:val="0"/>
            <w:vAlign w:val="top"/>
          </w:tcPr>
          <w:p>
            <w:pPr>
              <w:widowControl/>
              <w:jc w:val="center"/>
              <w:rPr>
                <w:rFonts w:ascii="宋体" w:hAnsi="宋体" w:cs="宋体"/>
                <w:color w:val="auto"/>
                <w:kern w:val="0"/>
                <w:sz w:val="20"/>
                <w:szCs w:val="20"/>
              </w:rPr>
            </w:pPr>
          </w:p>
        </w:tc>
        <w:tc>
          <w:tcPr>
            <w:tcW w:w="1125" w:type="dxa"/>
            <w:noWrap w:val="0"/>
            <w:vAlign w:val="top"/>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top"/>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15" w:type="dxa"/>
            <w:vMerge w:val="continue"/>
            <w:noWrap w:val="0"/>
            <w:vAlign w:val="top"/>
          </w:tcPr>
          <w:p>
            <w:pPr>
              <w:widowControl/>
              <w:jc w:val="center"/>
              <w:rPr>
                <w:rFonts w:hint="eastAsia" w:ascii="宋体" w:hAnsi="宋体" w:cs="宋体"/>
                <w:color w:val="auto"/>
                <w:kern w:val="0"/>
                <w:sz w:val="20"/>
                <w:szCs w:val="20"/>
              </w:rPr>
            </w:pPr>
          </w:p>
        </w:tc>
        <w:tc>
          <w:tcPr>
            <w:tcW w:w="668" w:type="dxa"/>
            <w:noWrap w:val="0"/>
            <w:vAlign w:val="top"/>
          </w:tcPr>
          <w:p>
            <w:pPr>
              <w:widowControl/>
              <w:jc w:val="left"/>
              <w:rPr>
                <w:color w:val="auto"/>
              </w:rPr>
            </w:pPr>
          </w:p>
        </w:tc>
        <w:tc>
          <w:tcPr>
            <w:tcW w:w="885" w:type="dxa"/>
            <w:vMerge w:val="continue"/>
            <w:noWrap w:val="0"/>
            <w:vAlign w:val="top"/>
          </w:tcPr>
          <w:p>
            <w:pPr>
              <w:widowControl/>
              <w:jc w:val="center"/>
              <w:rPr>
                <w:rFonts w:hint="eastAsia" w:ascii="宋体" w:hAnsi="宋体" w:cs="宋体"/>
                <w:color w:val="auto"/>
                <w:kern w:val="0"/>
                <w:sz w:val="20"/>
                <w:szCs w:val="20"/>
              </w:rPr>
            </w:pP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装设在阴暗处或夜班作业的施工升降机，应在全行程上装设足够的照明和明亮的楼层编号标志灯</w:t>
            </w:r>
          </w:p>
        </w:tc>
        <w:tc>
          <w:tcPr>
            <w:tcW w:w="1230" w:type="dxa"/>
            <w:noWrap w:val="0"/>
            <w:vAlign w:val="top"/>
          </w:tcPr>
          <w:p>
            <w:pPr>
              <w:widowControl/>
              <w:jc w:val="center"/>
              <w:rPr>
                <w:rFonts w:ascii="宋体" w:hAnsi="宋体" w:cs="宋体"/>
                <w:color w:val="auto"/>
                <w:kern w:val="0"/>
                <w:sz w:val="20"/>
                <w:szCs w:val="20"/>
              </w:rPr>
            </w:pPr>
          </w:p>
        </w:tc>
        <w:tc>
          <w:tcPr>
            <w:tcW w:w="1125" w:type="dxa"/>
            <w:noWrap w:val="0"/>
            <w:vAlign w:val="top"/>
          </w:tcPr>
          <w:p>
            <w:pPr>
              <w:widowControl/>
              <w:jc w:val="center"/>
              <w:rPr>
                <w:rFonts w:ascii="宋体" w:hAnsi="宋体" w:cs="宋体"/>
                <w:color w:val="auto"/>
                <w:kern w:val="0"/>
                <w:sz w:val="20"/>
                <w:szCs w:val="20"/>
              </w:rPr>
            </w:pPr>
          </w:p>
        </w:tc>
        <w:tc>
          <w:tcPr>
            <w:tcW w:w="960" w:type="dxa"/>
            <w:noWrap w:val="0"/>
            <w:vAlign w:val="center"/>
          </w:tcPr>
          <w:p>
            <w:pPr>
              <w:widowControl/>
              <w:jc w:val="center"/>
              <w:rPr>
                <w:rFonts w:hint="eastAsia" w:ascii="宋体" w:hAnsi="宋体" w:cs="宋体"/>
                <w:color w:val="auto"/>
                <w:kern w:val="0"/>
                <w:sz w:val="20"/>
                <w:szCs w:val="20"/>
              </w:rPr>
            </w:pPr>
            <w:r>
              <w:rPr>
                <w:rFonts w:hint="eastAsia" w:ascii="宋体" w:hAnsi="宋体"/>
                <w:color w:val="auto"/>
              </w:rPr>
              <w:t>√</w:t>
            </w:r>
          </w:p>
        </w:tc>
        <w:tc>
          <w:tcPr>
            <w:tcW w:w="1080" w:type="dxa"/>
            <w:noWrap w:val="0"/>
            <w:vAlign w:val="top"/>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15" w:type="dxa"/>
            <w:vMerge w:val="restart"/>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★84</w:t>
            </w:r>
          </w:p>
        </w:tc>
        <w:tc>
          <w:tcPr>
            <w:tcW w:w="668" w:type="dxa"/>
            <w:vMerge w:val="restart"/>
            <w:noWrap w:val="0"/>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3.1</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安全装置及其性能</w:t>
            </w:r>
          </w:p>
        </w:tc>
        <w:tc>
          <w:tcPr>
            <w:tcW w:w="885" w:type="dxa"/>
            <w:vMerge w:val="restart"/>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3.1.1</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吊笼防坠</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安全装置</w:t>
            </w: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齿轮齿条式施工升降机的每个吊笼必须装有渐进式防坠安全器，不允许采用瞬时式安全器</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center"/>
          </w:tcPr>
          <w:p>
            <w:pPr>
              <w:widowControl/>
              <w:jc w:val="center"/>
              <w:rPr>
                <w:rFonts w:ascii="宋体" w:hAnsi="宋体" w:cs="宋体"/>
                <w:color w:val="auto"/>
                <w:kern w:val="0"/>
                <w:sz w:val="20"/>
                <w:szCs w:val="20"/>
              </w:rPr>
            </w:pPr>
          </w:p>
        </w:tc>
        <w:tc>
          <w:tcPr>
            <w:tcW w:w="960" w:type="dxa"/>
            <w:vMerge w:val="restart"/>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吊笼防坠器选型错误</w:t>
            </w:r>
          </w:p>
        </w:tc>
        <w:tc>
          <w:tcPr>
            <w:tcW w:w="1080" w:type="dxa"/>
            <w:noWrap w:val="0"/>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15" w:type="dxa"/>
            <w:vMerge w:val="continue"/>
            <w:noWrap w:val="0"/>
            <w:vAlign w:val="top"/>
          </w:tcPr>
          <w:p>
            <w:pPr>
              <w:widowControl/>
              <w:jc w:val="center"/>
              <w:rPr>
                <w:rFonts w:hint="eastAsia" w:ascii="宋体" w:hAnsi="宋体" w:cs="宋体"/>
                <w:color w:val="auto"/>
                <w:kern w:val="0"/>
                <w:sz w:val="20"/>
                <w:szCs w:val="20"/>
              </w:rPr>
            </w:pPr>
          </w:p>
        </w:tc>
        <w:tc>
          <w:tcPr>
            <w:tcW w:w="668" w:type="dxa"/>
            <w:vMerge w:val="continue"/>
            <w:noWrap w:val="0"/>
            <w:vAlign w:val="top"/>
          </w:tcPr>
          <w:p>
            <w:pPr>
              <w:widowControl/>
              <w:jc w:val="left"/>
              <w:rPr>
                <w:color w:val="auto"/>
              </w:rPr>
            </w:pPr>
          </w:p>
        </w:tc>
        <w:tc>
          <w:tcPr>
            <w:tcW w:w="885" w:type="dxa"/>
            <w:vMerge w:val="continue"/>
            <w:noWrap w:val="0"/>
            <w:vAlign w:val="top"/>
          </w:tcPr>
          <w:p>
            <w:pPr>
              <w:widowControl/>
              <w:jc w:val="center"/>
              <w:rPr>
                <w:rFonts w:hint="eastAsia" w:ascii="宋体" w:hAnsi="宋体" w:cs="宋体"/>
                <w:color w:val="auto"/>
                <w:kern w:val="0"/>
                <w:sz w:val="20"/>
                <w:szCs w:val="20"/>
              </w:rPr>
            </w:pP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钢丝绳式施工升降机的每个吊笼应设置兼有防坠、限速双重功能的防坠安全装置，且应采用速度触发型的防坠安全器。额定提升速度不超过0.63m/s时,可采用瞬时式安全器,否则应采用渐进式安全器</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top"/>
          </w:tcPr>
          <w:p>
            <w:pPr>
              <w:widowControl/>
              <w:jc w:val="center"/>
              <w:rPr>
                <w:rFonts w:ascii="宋体" w:hAnsi="宋体" w:cs="宋体"/>
                <w:color w:val="auto"/>
                <w:kern w:val="0"/>
                <w:sz w:val="20"/>
                <w:szCs w:val="20"/>
              </w:rPr>
            </w:pPr>
          </w:p>
        </w:tc>
        <w:tc>
          <w:tcPr>
            <w:tcW w:w="960" w:type="dxa"/>
            <w:vMerge w:val="continue"/>
            <w:noWrap w:val="0"/>
            <w:vAlign w:val="center"/>
          </w:tcPr>
          <w:p>
            <w:pPr>
              <w:widowControl/>
              <w:jc w:val="center"/>
              <w:rPr>
                <w:rFonts w:hint="eastAsia" w:ascii="宋体" w:hAnsi="宋体"/>
                <w:color w:val="auto"/>
              </w:rPr>
            </w:pPr>
          </w:p>
        </w:tc>
        <w:tc>
          <w:tcPr>
            <w:tcW w:w="1080" w:type="dxa"/>
            <w:noWrap w:val="0"/>
            <w:vAlign w:val="center"/>
          </w:tcPr>
          <w:p>
            <w:pPr>
              <w:widowControl/>
              <w:jc w:val="left"/>
              <w:rPr>
                <w:rFonts w:ascii="宋体" w:hAns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15" w:type="dxa"/>
            <w:vMerge w:val="continue"/>
            <w:noWrap w:val="0"/>
            <w:vAlign w:val="top"/>
          </w:tcPr>
          <w:p>
            <w:pPr>
              <w:widowControl/>
              <w:jc w:val="center"/>
              <w:rPr>
                <w:rFonts w:hint="eastAsia" w:ascii="宋体" w:hAnsi="宋体" w:cs="宋体"/>
                <w:color w:val="auto"/>
                <w:kern w:val="0"/>
                <w:sz w:val="20"/>
                <w:szCs w:val="20"/>
              </w:rPr>
            </w:pPr>
          </w:p>
        </w:tc>
        <w:tc>
          <w:tcPr>
            <w:tcW w:w="668" w:type="dxa"/>
            <w:vMerge w:val="continue"/>
            <w:noWrap w:val="0"/>
            <w:vAlign w:val="top"/>
          </w:tcPr>
          <w:p>
            <w:pPr>
              <w:widowControl/>
              <w:jc w:val="left"/>
              <w:rPr>
                <w:color w:val="auto"/>
              </w:rPr>
            </w:pPr>
          </w:p>
        </w:tc>
        <w:tc>
          <w:tcPr>
            <w:tcW w:w="885" w:type="dxa"/>
            <w:vMerge w:val="continue"/>
            <w:noWrap w:val="0"/>
            <w:vAlign w:val="top"/>
          </w:tcPr>
          <w:p>
            <w:pPr>
              <w:widowControl/>
              <w:jc w:val="center"/>
              <w:rPr>
                <w:rFonts w:hint="eastAsia" w:ascii="宋体" w:hAnsi="宋体" w:cs="宋体"/>
                <w:color w:val="auto"/>
                <w:kern w:val="0"/>
                <w:sz w:val="20"/>
                <w:szCs w:val="20"/>
              </w:rPr>
            </w:pPr>
          </w:p>
        </w:tc>
        <w:tc>
          <w:tcPr>
            <w:tcW w:w="4200" w:type="dxa"/>
            <w:gridSpan w:val="7"/>
            <w:noWrap w:val="0"/>
            <w:vAlign w:val="center"/>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防坠安全器的型号规格应与施工升降机的型号规格相匹配</w:t>
            </w:r>
          </w:p>
        </w:tc>
        <w:tc>
          <w:tcPr>
            <w:tcW w:w="1230" w:type="dxa"/>
            <w:noWrap w:val="0"/>
            <w:vAlign w:val="center"/>
          </w:tcPr>
          <w:p>
            <w:pPr>
              <w:widowControl/>
              <w:jc w:val="center"/>
              <w:rPr>
                <w:rFonts w:ascii="宋体" w:hAnsi="宋体" w:cs="宋体"/>
                <w:color w:val="auto"/>
                <w:kern w:val="0"/>
                <w:sz w:val="20"/>
                <w:szCs w:val="20"/>
              </w:rPr>
            </w:pPr>
          </w:p>
        </w:tc>
        <w:tc>
          <w:tcPr>
            <w:tcW w:w="1125" w:type="dxa"/>
            <w:noWrap w:val="0"/>
            <w:vAlign w:val="top"/>
          </w:tcPr>
          <w:p>
            <w:pPr>
              <w:widowControl/>
              <w:jc w:val="center"/>
              <w:rPr>
                <w:rFonts w:ascii="宋体" w:hAnsi="宋体" w:cs="宋体"/>
                <w:color w:val="auto"/>
                <w:kern w:val="0"/>
                <w:sz w:val="20"/>
                <w:szCs w:val="20"/>
              </w:rPr>
            </w:pPr>
          </w:p>
        </w:tc>
        <w:tc>
          <w:tcPr>
            <w:tcW w:w="960" w:type="dxa"/>
            <w:vMerge w:val="continue"/>
            <w:noWrap w:val="0"/>
            <w:vAlign w:val="top"/>
          </w:tcPr>
          <w:p>
            <w:pPr>
              <w:widowControl/>
              <w:jc w:val="center"/>
              <w:rPr>
                <w:rFonts w:hint="eastAsia" w:ascii="宋体" w:hAnsi="宋体"/>
                <w:color w:val="auto"/>
              </w:rPr>
            </w:pPr>
          </w:p>
        </w:tc>
        <w:tc>
          <w:tcPr>
            <w:tcW w:w="1080" w:type="dxa"/>
            <w:noWrap w:val="0"/>
            <w:vAlign w:val="center"/>
          </w:tcPr>
          <w:p>
            <w:pPr>
              <w:widowControl/>
              <w:jc w:val="left"/>
              <w:rPr>
                <w:rFonts w:ascii="宋体" w:hAnsi="宋体" w:cs="宋体"/>
                <w:color w:val="auto"/>
                <w:kern w:val="0"/>
                <w:sz w:val="20"/>
                <w:szCs w:val="20"/>
              </w:rPr>
            </w:pPr>
          </w:p>
        </w:tc>
      </w:tr>
    </w:tbl>
    <w:p>
      <w:pPr>
        <w:rPr>
          <w:color w:val="auto"/>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_HKSCS">
    <w:panose1 w:val="02020500000000000000"/>
    <w:charset w:val="88"/>
    <w:family w:val="roman"/>
    <w:pitch w:val="default"/>
    <w:sig w:usb0="A00002FF" w:usb1="3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1B4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苏子</cp:lastModifiedBy>
  <dcterms:modified xsi:type="dcterms:W3CDTF">2020-05-29T07:00:49Z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