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0"/>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b w:val="0"/>
          <w:bCs/>
          <w:sz w:val="44"/>
          <w:szCs w:val="44"/>
          <w:lang w:eastAsia="zh-CN"/>
        </w:rPr>
        <w:t>《清远市人民政府</w:t>
      </w:r>
      <w:r>
        <w:rPr>
          <w:rFonts w:hint="eastAsia" w:ascii="方正小标宋_GBK" w:hAnsi="方正小标宋_GBK" w:eastAsia="方正小标宋_GBK" w:cs="方正小标宋_GBK"/>
          <w:kern w:val="0"/>
          <w:sz w:val="44"/>
          <w:szCs w:val="44"/>
          <w:lang w:eastAsia="zh-CN"/>
        </w:rPr>
        <w:t>关于进一步调整户口迁移</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kern w:val="0"/>
          <w:sz w:val="44"/>
          <w:szCs w:val="44"/>
          <w:lang w:eastAsia="zh-CN"/>
        </w:rPr>
        <w:t>条件的实施意见</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eastAsia="zh-CN"/>
        </w:rPr>
        <w:t>征求意见稿</w:t>
      </w:r>
      <w:bookmarkStart w:id="0" w:name="_GoBack"/>
      <w:bookmarkEnd w:id="0"/>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rPr>
        <w:t>起草说明</w:t>
      </w:r>
    </w:p>
    <w:p>
      <w:pPr>
        <w:pStyle w:val="8"/>
        <w:keepNext w:val="0"/>
        <w:keepLines w:val="0"/>
        <w:pageBreakBefore w:val="0"/>
        <w:widowControl w:val="0"/>
        <w:kinsoku/>
        <w:wordWrap/>
        <w:overflowPunct/>
        <w:topLinePunct w:val="0"/>
        <w:bidi w:val="0"/>
        <w:spacing w:line="560" w:lineRule="exact"/>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0"/>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一、</w:t>
      </w:r>
      <w:r>
        <w:rPr>
          <w:rFonts w:hint="eastAsia" w:eastAsia="黑体" w:cs="Times New Roman"/>
          <w:sz w:val="32"/>
          <w:lang w:val="en-US" w:eastAsia="zh-CN"/>
        </w:rPr>
        <w:t>起草背景</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kern w:val="2"/>
          <w:sz w:val="32"/>
          <w:szCs w:val="32"/>
          <w:highlight w:val="none"/>
          <w:lang w:val="en-US" w:eastAsia="zh-CN" w:bidi="ar-SA"/>
        </w:rPr>
        <w:t>为贯彻落实《中华人民共和国国民经济和社会发展第十四个五年规划和2035年远景目标纲要》《广东省新型城镇化规划（2021-2035年）》提出的关于深入推进以人为核心的新型城镇化战略、全面深化户籍制度改革、试行以经常居住地登记户口制度、探索建立新型人口管理制度等工作部署要求，结合我市户籍制度改革政策取得的成效及群众重点关注的问题，清远市公安局起草了《清远市人民政府关于调整户口迁移条件的实施意见（征求意见稿）》。</w:t>
      </w:r>
    </w:p>
    <w:p>
      <w:pPr>
        <w:keepNext w:val="0"/>
        <w:keepLines w:val="0"/>
        <w:pageBreakBefore w:val="0"/>
        <w:widowControl w:val="0"/>
        <w:numPr>
          <w:ilvl w:val="-1"/>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二、法律法规政策依据</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630" w:leftChars="300" w:right="0" w:rightChars="0" w:firstLine="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color w:val="000000"/>
          <w:sz w:val="32"/>
          <w:szCs w:val="32"/>
          <w:lang w:val="en-US" w:eastAsia="zh-CN"/>
        </w:rPr>
        <w:t>《中华人民共和国户口登记条例》；</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（二）《中华人民共和国民法典》；</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（三）《中华人民共和国国民经济和社会发展第十四个五年规划和2035年远景目标纲要》；</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000000"/>
          <w:sz w:val="32"/>
          <w:szCs w:val="32"/>
          <w:lang w:val="en-US" w:eastAsia="zh-CN"/>
        </w:rPr>
        <w:t>（四）《广东省人民政府关于印发广东省新型城镇化规划（2021—2035年）的通知》（粤府</w:t>
      </w:r>
      <w:r>
        <w:rPr>
          <w:rFonts w:ascii="仿宋_GB2312" w:hAnsi="宋体" w:eastAsia="仿宋_GB2312" w:cs="仿宋_GB2312"/>
          <w:color w:val="000000"/>
          <w:kern w:val="0"/>
          <w:sz w:val="31"/>
          <w:szCs w:val="31"/>
          <w:lang w:val="en-US" w:eastAsia="zh-CN" w:bidi="ar"/>
        </w:rPr>
        <w:t>〔2021〕</w:t>
      </w:r>
      <w:r>
        <w:rPr>
          <w:rFonts w:hint="eastAsia" w:ascii="仿宋_GB2312" w:hAnsi="宋体" w:eastAsia="仿宋_GB2312" w:cs="仿宋_GB2312"/>
          <w:color w:val="000000"/>
          <w:kern w:val="0"/>
          <w:sz w:val="31"/>
          <w:szCs w:val="31"/>
          <w:lang w:val="en-US" w:eastAsia="zh-CN" w:bidi="ar"/>
        </w:rPr>
        <w:t>74</w:t>
      </w:r>
      <w:r>
        <w:rPr>
          <w:rFonts w:hint="eastAsia" w:ascii="仿宋_GB2312" w:hAnsi="仿宋_GB2312" w:eastAsia="仿宋_GB2312" w:cs="仿宋_GB2312"/>
          <w:color w:val="000000"/>
          <w:sz w:val="32"/>
          <w:szCs w:val="32"/>
          <w:lang w:val="en-US" w:eastAsia="zh-CN"/>
        </w:rPr>
        <w:t>）号）。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contextualSpacing/>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主要内容说明</w:t>
      </w:r>
    </w:p>
    <w:p>
      <w:pPr>
        <w:widowControl w:val="0"/>
        <w:numPr>
          <w:ilvl w:val="-1"/>
          <w:numId w:val="0"/>
        </w:numPr>
        <w:spacing w:line="560" w:lineRule="exact"/>
        <w:ind w:firstLine="0" w:firstLineChars="0"/>
        <w:contextualSpacing/>
        <w:jc w:val="left"/>
        <w:outlineLvl w:val="9"/>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t>调整</w:t>
      </w:r>
      <w:r>
        <w:rPr>
          <w:rFonts w:hint="eastAsia" w:ascii="楷体_GB2312" w:hAnsi="楷体_GB2312" w:eastAsia="楷体_GB2312" w:cs="楷体_GB2312"/>
          <w:b w:val="0"/>
          <w:bCs w:val="0"/>
          <w:color w:val="000000" w:themeColor="text1"/>
          <w:spacing w:val="0"/>
          <w:w w:val="100"/>
          <w:kern w:val="2"/>
          <w:sz w:val="32"/>
          <w:szCs w:val="32"/>
          <w:highlight w:val="none"/>
          <w14:textFill>
            <w14:solidFill>
              <w14:schemeClr w14:val="tx1"/>
            </w14:solidFill>
          </w14:textFill>
        </w:rPr>
        <w:t>亲属</w:t>
      </w:r>
      <w:r>
        <w:rPr>
          <w:rFonts w:hint="eastAsia" w:ascii="楷体_GB2312" w:hAnsi="楷体_GB2312" w:eastAsia="楷体_GB2312" w:cs="楷体_GB2312"/>
          <w:b w:val="0"/>
          <w:bCs w:val="0"/>
          <w:color w:val="000000" w:themeColor="text1"/>
          <w:spacing w:val="0"/>
          <w:w w:val="100"/>
          <w:kern w:val="2"/>
          <w:sz w:val="32"/>
          <w:szCs w:val="32"/>
          <w:highlight w:val="none"/>
          <w:lang w:eastAsia="zh-CN"/>
          <w14:textFill>
            <w14:solidFill>
              <w14:schemeClr w14:val="tx1"/>
            </w14:solidFill>
          </w14:textFill>
        </w:rPr>
        <w:t>投靠登记户口政策</w:t>
      </w:r>
    </w:p>
    <w:p>
      <w:pPr>
        <w:widowControl/>
        <w:numPr>
          <w:ilvl w:val="-1"/>
          <w:numId w:val="0"/>
        </w:numPr>
        <w:spacing w:line="560" w:lineRule="exact"/>
        <w:ind w:firstLine="640" w:firstLineChars="200"/>
        <w:jc w:val="left"/>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城镇地区原亲属投靠条件不变，调整并放宽乡村地区亲属投靠政策，提出“</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在我市乡村地区可夫妻投靠、父母投靠子女、子女投靠父母登记户口</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”的政策条款。</w:t>
      </w:r>
    </w:p>
    <w:p>
      <w:pPr>
        <w:widowControl/>
        <w:numPr>
          <w:ilvl w:val="-1"/>
          <w:numId w:val="0"/>
        </w:numPr>
        <w:spacing w:line="560" w:lineRule="exact"/>
        <w:ind w:left="0" w:leftChars="0" w:firstLine="640" w:firstLineChars="200"/>
        <w:jc w:val="left"/>
        <w:rPr>
          <w:rFonts w:hint="eastAsia" w:ascii="楷体_GB2312" w:hAnsi="楷体_GB2312" w:eastAsia="楷体_GB2312" w:cs="楷体_GB2312"/>
          <w:b w:val="0"/>
          <w:bCs w:val="0"/>
          <w:color w:val="000000" w:themeColor="text1"/>
          <w:spacing w:val="0"/>
          <w:w w:val="100"/>
          <w:kern w:val="2"/>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（二）调整</w:t>
      </w:r>
      <w:r>
        <w:rPr>
          <w:rFonts w:hint="eastAsia" w:ascii="楷体_GB2312" w:hAnsi="楷体_GB2312" w:eastAsia="楷体_GB2312" w:cs="楷体_GB2312"/>
          <w:b w:val="0"/>
          <w:bCs w:val="0"/>
          <w:color w:val="000000" w:themeColor="text1"/>
          <w:spacing w:val="0"/>
          <w:w w:val="100"/>
          <w:kern w:val="2"/>
          <w:sz w:val="32"/>
          <w:szCs w:val="32"/>
          <w:highlight w:val="none"/>
          <w:lang w:eastAsia="zh-CN"/>
          <w14:textFill>
            <w14:solidFill>
              <w14:schemeClr w14:val="tx1"/>
            </w14:solidFill>
          </w14:textFill>
        </w:rPr>
        <w:t>合法稳定居住就业登记户口</w:t>
      </w:r>
    </w:p>
    <w:p>
      <w:pPr>
        <w:widowControl/>
        <w:numPr>
          <w:ilvl w:val="-1"/>
          <w:numId w:val="0"/>
        </w:numPr>
        <w:spacing w:line="560" w:lineRule="exact"/>
        <w:ind w:left="0" w:leftChars="0" w:firstLine="640" w:firstLineChars="200"/>
        <w:jc w:val="left"/>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提出“在全市范围内属</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本人、配偶、父母或子女的合法稳定住所，可立户登记户口</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不受城乡地域限制</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的政策条款；</w:t>
      </w:r>
    </w:p>
    <w:p>
      <w:pPr>
        <w:widowControl/>
        <w:numPr>
          <w:ilvl w:val="-1"/>
          <w:numId w:val="0"/>
        </w:numPr>
        <w:spacing w:line="560" w:lineRule="exact"/>
        <w:ind w:left="0" w:leftChars="0" w:firstLine="640" w:firstLineChars="200"/>
        <w:jc w:val="left"/>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2.明确在城镇地区、乡村地区其他类型合法稳定居住登记户口情形；</w:t>
      </w:r>
    </w:p>
    <w:p>
      <w:pPr>
        <w:widowControl/>
        <w:numPr>
          <w:ilvl w:val="-1"/>
          <w:numId w:val="0"/>
        </w:numPr>
        <w:spacing w:line="560" w:lineRule="exact"/>
        <w:ind w:left="0" w:leftChars="0" w:firstLine="640" w:firstLineChars="200"/>
        <w:jc w:val="left"/>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3.明确合法稳定就业登记户口情形。</w:t>
      </w:r>
    </w:p>
    <w:p>
      <w:pPr>
        <w:widowControl/>
        <w:numPr>
          <w:ilvl w:val="0"/>
          <w:numId w:val="2"/>
        </w:numPr>
        <w:spacing w:line="560" w:lineRule="exact"/>
        <w:ind w:firstLine="640" w:firstLineChars="200"/>
        <w:jc w:val="left"/>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eastAsia="zh-CN"/>
          <w14:textFill>
            <w14:solidFill>
              <w14:schemeClr w14:val="tx1"/>
            </w14:solidFill>
          </w14:textFill>
        </w:rPr>
        <w:t>新增提出“</w:t>
      </w:r>
      <w:r>
        <w:rPr>
          <w:rFonts w:hint="eastAsia" w:ascii="楷体_GB2312" w:hAnsi="楷体_GB2312" w:eastAsia="楷体_GB2312" w:cs="楷体_GB2312"/>
          <w:b w:val="0"/>
          <w:bCs w:val="0"/>
          <w:color w:val="000000" w:themeColor="text1"/>
          <w:spacing w:val="0"/>
          <w:w w:val="100"/>
          <w:kern w:val="2"/>
          <w:sz w:val="32"/>
          <w:szCs w:val="32"/>
          <w:highlight w:val="none"/>
          <w:lang w:val="en-US" w:eastAsia="zh-CN"/>
          <w14:textFill>
            <w14:solidFill>
              <w14:schemeClr w14:val="tx1"/>
            </w14:solidFill>
          </w14:textFill>
        </w:rPr>
        <w:t>以经常居住地登记户口制度”</w:t>
      </w:r>
      <w:r>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t xml:space="preserve">的政策条款  </w:t>
      </w:r>
    </w:p>
    <w:p>
      <w:pPr>
        <w:widowControl/>
        <w:numPr>
          <w:ilvl w:val="-1"/>
          <w:numId w:val="0"/>
        </w:numPr>
        <w:spacing w:line="560" w:lineRule="exact"/>
        <w:ind w:firstLine="640" w:firstLineChars="200"/>
        <w:jc w:val="left"/>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在英德市、佛冈县连续居住满半年以上，有稳定住所（含租赁）的，可以申请常住户口登记，不受城乡地域、就业条件、婚姻家庭限制。</w:t>
      </w:r>
    </w:p>
    <w:p>
      <w:pPr>
        <w:widowControl/>
        <w:numPr>
          <w:ilvl w:val="0"/>
          <w:numId w:val="2"/>
        </w:numPr>
        <w:spacing w:line="560" w:lineRule="exact"/>
        <w:ind w:firstLine="640" w:firstLineChars="200"/>
        <w:jc w:val="left"/>
        <w:rPr>
          <w:rFonts w:hint="eastAsia" w:ascii="楷体_GB2312" w:hAnsi="楷体_GB2312" w:eastAsia="楷体_GB2312" w:cs="楷体_GB2312"/>
          <w:b w:val="0"/>
          <w:bCs w:val="0"/>
          <w:color w:val="000000" w:themeColor="text1"/>
          <w:spacing w:val="0"/>
          <w:w w:val="100"/>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调整</w:t>
      </w:r>
      <w:r>
        <w:rPr>
          <w:rFonts w:hint="eastAsia" w:ascii="楷体_GB2312" w:hAnsi="楷体_GB2312" w:eastAsia="楷体_GB2312" w:cs="楷体_GB2312"/>
          <w:b w:val="0"/>
          <w:bCs w:val="0"/>
          <w:color w:val="000000" w:themeColor="text1"/>
          <w:kern w:val="2"/>
          <w:sz w:val="32"/>
          <w:szCs w:val="32"/>
          <w:highlight w:val="none"/>
          <w:shd w:val="clear" w:color="auto" w:fill="FFFFFF"/>
          <w:lang w:val="en-US" w:eastAsia="zh-CN" w:bidi="ar"/>
          <w14:textFill>
            <w14:solidFill>
              <w14:schemeClr w14:val="tx1"/>
            </w14:solidFill>
          </w14:textFill>
        </w:rPr>
        <w:t>乡村地区生源的大、中专学生毕业后回原籍的</w:t>
      </w:r>
      <w:r>
        <w:rPr>
          <w:rFonts w:hint="eastAsia" w:ascii="楷体_GB2312" w:hAnsi="楷体_GB2312" w:eastAsia="楷体_GB2312" w:cs="楷体_GB2312"/>
          <w:b w:val="0"/>
          <w:bCs w:val="0"/>
          <w:color w:val="000000" w:themeColor="text1"/>
          <w:kern w:val="2"/>
          <w:sz w:val="32"/>
          <w:szCs w:val="32"/>
          <w:highlight w:val="none"/>
          <w:shd w:val="clear"/>
          <w:lang w:val="en-US" w:eastAsia="zh-CN" w:bidi="ar"/>
          <w14:textFill>
            <w14:solidFill>
              <w14:schemeClr w14:val="tx1"/>
            </w14:solidFill>
          </w14:textFill>
        </w:rPr>
        <w:t>政策</w:t>
      </w:r>
    </w:p>
    <w:p>
      <w:pPr>
        <w:widowControl/>
        <w:numPr>
          <w:ilvl w:val="-1"/>
          <w:numId w:val="0"/>
        </w:numPr>
        <w:spacing w:line="560" w:lineRule="exact"/>
        <w:ind w:firstLine="640" w:firstLineChars="200"/>
        <w:jc w:val="left"/>
        <w:rPr>
          <w:rFonts w:hint="eastAsia" w:ascii="仿宋_GB2312" w:hAnsi="仿宋_GB2312" w:eastAsia="仿宋_GB2312" w:cs="仿宋_GB2312"/>
          <w:b w:val="0"/>
          <w:bCs w:val="0"/>
          <w:color w:val="000000" w:themeColor="text1"/>
          <w:spacing w:val="0"/>
          <w:w w:val="10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提出“</w:t>
      </w:r>
      <w:r>
        <w:rPr>
          <w:rFonts w:hint="eastAsia" w:ascii="仿宋_GB2312" w:hAnsi="仿宋_GB2312" w:eastAsia="仿宋_GB2312" w:cs="仿宋_GB2312"/>
          <w:b w:val="0"/>
          <w:bCs w:val="0"/>
          <w:color w:val="000000" w:themeColor="text1"/>
          <w:spacing w:val="0"/>
          <w:w w:val="100"/>
          <w:kern w:val="2"/>
          <w:sz w:val="32"/>
          <w:szCs w:val="32"/>
          <w:highlight w:val="none"/>
          <w:lang w:val="en-US" w:eastAsia="zh-CN"/>
          <w14:textFill>
            <w14:solidFill>
              <w14:schemeClr w14:val="tx1"/>
            </w14:solidFill>
          </w14:textFill>
        </w:rPr>
        <w:t>大、中专学生毕业、肄业、退学、辍学后</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其户口在原学校的，</w:t>
      </w:r>
      <w:r>
        <w:rPr>
          <w:rFonts w:hint="eastAsia" w:ascii="仿宋_GB2312" w:hAnsi="仿宋_GB2312" w:eastAsia="仿宋_GB2312" w:cs="仿宋_GB2312"/>
          <w:b w:val="0"/>
          <w:bCs w:val="0"/>
          <w:color w:val="000000" w:themeColor="text1"/>
          <w:spacing w:val="0"/>
          <w:w w:val="100"/>
          <w:kern w:val="2"/>
          <w:sz w:val="32"/>
          <w:szCs w:val="32"/>
          <w:highlight w:val="none"/>
          <w:lang w:val="en-US" w:eastAsia="zh-CN"/>
          <w14:textFill>
            <w14:solidFill>
              <w14:schemeClr w14:val="tx1"/>
            </w14:solidFill>
          </w14:textFill>
        </w:rPr>
        <w:t>可申请将户口迁回乡村原籍户口所在地”</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的政策条款。</w:t>
      </w:r>
    </w:p>
    <w:p>
      <w:pPr>
        <w:widowControl/>
        <w:numPr>
          <w:ilvl w:val="0"/>
          <w:numId w:val="2"/>
        </w:numPr>
        <w:spacing w:line="560" w:lineRule="exact"/>
        <w:ind w:firstLine="640" w:firstLineChars="200"/>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pacing w:val="0"/>
          <w:w w:val="100"/>
          <w:kern w:val="2"/>
          <w:sz w:val="32"/>
          <w:szCs w:val="32"/>
          <w:highlight w:val="none"/>
          <w:lang w:val="en-US" w:eastAsia="zh-CN"/>
          <w14:textFill>
            <w14:solidFill>
              <w14:schemeClr w14:val="tx1"/>
            </w14:solidFill>
          </w14:textFill>
        </w:rPr>
        <w:t>调</w:t>
      </w:r>
      <w:r>
        <w:rPr>
          <w:rFonts w:hint="eastAsia" w:ascii="楷体_GB2312" w:hAnsi="楷体_GB2312" w:eastAsia="楷体_GB2312" w:cs="楷体_GB2312"/>
          <w:b w:val="0"/>
          <w:bCs w:val="0"/>
          <w:color w:val="000000" w:themeColor="text1"/>
          <w:spacing w:val="0"/>
          <w:w w:val="100"/>
          <w:kern w:val="2"/>
          <w:sz w:val="32"/>
          <w:szCs w:val="32"/>
          <w:highlight w:val="none"/>
          <w:lang w:val="en-US" w:eastAsia="zh-CN" w:bidi="ar"/>
          <w14:textFill>
            <w14:solidFill>
              <w14:schemeClr w14:val="tx1"/>
            </w14:solidFill>
          </w14:textFill>
        </w:rPr>
        <w:t>整引进人才入户政策，</w:t>
      </w:r>
      <w:r>
        <w:rPr>
          <w:rFonts w:hint="eastAsia" w:ascii="楷体_GB2312" w:hAnsi="楷体_GB2312" w:eastAsia="楷体_GB2312" w:cs="楷体_GB2312"/>
          <w:b w:val="0"/>
          <w:bCs w:val="0"/>
          <w:color w:val="000000" w:themeColor="text1"/>
          <w:sz w:val="32"/>
          <w:szCs w:val="32"/>
          <w:highlight w:val="none"/>
          <w:lang w:eastAsia="zh-CN" w:bidi="ar"/>
          <w14:textFill>
            <w14:solidFill>
              <w14:schemeClr w14:val="tx1"/>
            </w14:solidFill>
          </w14:textFill>
        </w:rPr>
        <w:t>为返乡入</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乡创业就业的人才做好落户保障</w:t>
      </w:r>
    </w:p>
    <w:p>
      <w:pPr>
        <w:pStyle w:val="2"/>
        <w:numPr>
          <w:ilvl w:val="0"/>
          <w:numId w:val="2"/>
        </w:numPr>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明确户口登记的相关事项</w:t>
      </w:r>
    </w:p>
    <w:p>
      <w:pPr>
        <w:pStyle w:val="2"/>
        <w:numPr>
          <w:ilvl w:val="-1"/>
          <w:numId w:val="0"/>
        </w:numPr>
        <w:spacing w:line="560" w:lineRule="exact"/>
        <w:ind w:firstLine="640" w:firstLineChars="200"/>
        <w:rPr>
          <w:rFonts w:hint="eastAsia"/>
          <w:b w:val="0"/>
          <w:bCs w:val="0"/>
          <w:lang w:val="en-US" w:eastAsia="zh-CN"/>
        </w:rPr>
      </w:pPr>
      <w:r>
        <w:rPr>
          <w:rFonts w:hint="eastAsia" w:ascii="仿宋_GB2312" w:hAnsi="Times New Roman" w:eastAsia="仿宋_GB2312"/>
          <w:b w:val="0"/>
          <w:bCs w:val="0"/>
          <w:color w:val="000000" w:themeColor="text1"/>
          <w:sz w:val="32"/>
          <w:szCs w:val="32"/>
          <w:highlight w:val="none"/>
          <w:lang w:val="en-US" w:eastAsia="zh-CN"/>
          <w14:textFill>
            <w14:solidFill>
              <w14:schemeClr w14:val="tx1"/>
            </w14:solidFill>
          </w14:textFill>
        </w:rPr>
        <w:t>落户只作户籍变更登记，不与经济利益和各项福利待遇挂钩。户口迁入、迁出农村集体经济组织所在地的公民，其成员资格按相关法律法规认定。如涉及经济、土地、拆迁等问题的，应当依照相关规定另行处理。</w:t>
      </w:r>
    </w:p>
    <w:p>
      <w:pPr>
        <w:pStyle w:val="8"/>
        <w:keepNext w:val="0"/>
        <w:keepLines w:val="0"/>
        <w:pageBreakBefore w:val="0"/>
        <w:widowControl w:val="0"/>
        <w:kinsoku/>
        <w:wordWrap/>
        <w:overflowPunct/>
        <w:topLinePunct w:val="0"/>
        <w:autoSpaceDE/>
        <w:bidi w:val="0"/>
        <w:adjustRightInd/>
        <w:snapToGrid/>
        <w:spacing w:before="0" w:after="0" w:line="560" w:lineRule="exact"/>
        <w:ind w:right="0" w:rightChars="0" w:firstLine="5760" w:firstLineChars="1800"/>
        <w:jc w:val="both"/>
        <w:textAlignment w:val="auto"/>
        <w:outlineLvl w:val="9"/>
        <w:rPr>
          <w:rFonts w:hint="eastAsia" w:hAnsi="仿宋_GB2312" w:cs="宋体"/>
          <w:b w:val="0"/>
          <w:bCs w:val="0"/>
        </w:rPr>
      </w:pP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firstLine="420" w:firstLineChars="200"/>
        <w:jc w:val="both"/>
        <w:textAlignment w:val="auto"/>
        <w:rPr>
          <w:b w:val="0"/>
          <w:bCs w:val="0"/>
        </w:rPr>
      </w:pPr>
    </w:p>
    <w:p/>
    <w:sectPr>
      <w:headerReference r:id="rId5" w:type="first"/>
      <w:footerReference r:id="rId8" w:type="first"/>
      <w:headerReference r:id="rId3" w:type="default"/>
      <w:footerReference r:id="rId6" w:type="default"/>
      <w:headerReference r:id="rId4" w:type="even"/>
      <w:footerReference r:id="rId7" w:type="even"/>
      <w:pgSz w:w="11906" w:h="16838"/>
      <w:pgMar w:top="221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between w:val="none" w:color="auto" w:sz="0" w:space="0"/>
                            </w:pBdr>
                          </w:pPr>
                          <w:r>
                            <w:rPr>
                              <w:rFonts w:hint="eastAsia" w:ascii="仿宋_GB2312" w:hAnsi="仿宋_GB2312" w:eastAsia="仿宋_GB2312" w:cs="仿宋_GB2312"/>
                              <w:sz w:val="24"/>
                              <w:szCs w:val="24"/>
                            </w:rPr>
                            <w:fldChar w:fldCharType="begin"/>
                          </w:r>
                          <w:r>
                            <w:rPr>
                              <w:rStyle w:val="11"/>
                              <w:rFonts w:hint="eastAsia" w:ascii="仿宋_GB2312" w:hAnsi="仿宋_GB2312" w:eastAsia="仿宋_GB2312" w:cs="仿宋_GB2312"/>
                              <w:sz w:val="24"/>
                              <w:szCs w:val="24"/>
                            </w:rPr>
                            <w:instrText xml:space="preserve"> PAGE  </w:instrText>
                          </w:r>
                          <w:r>
                            <w:rPr>
                              <w:rFonts w:hint="eastAsia" w:ascii="仿宋_GB2312" w:hAnsi="仿宋_GB2312" w:eastAsia="仿宋_GB2312" w:cs="仿宋_GB2312"/>
                              <w:sz w:val="24"/>
                              <w:szCs w:val="24"/>
                            </w:rPr>
                            <w:fldChar w:fldCharType="separate"/>
                          </w:r>
                          <w:r>
                            <w:rPr>
                              <w:rStyle w:val="11"/>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Bdr>
                        <w:between w:val="none" w:color="auto" w:sz="0" w:space="0"/>
                      </w:pBdr>
                    </w:pPr>
                    <w:r>
                      <w:rPr>
                        <w:rFonts w:hint="eastAsia" w:ascii="仿宋_GB2312" w:hAnsi="仿宋_GB2312" w:eastAsia="仿宋_GB2312" w:cs="仿宋_GB2312"/>
                        <w:sz w:val="24"/>
                        <w:szCs w:val="24"/>
                      </w:rPr>
                      <w:fldChar w:fldCharType="begin"/>
                    </w:r>
                    <w:r>
                      <w:rPr>
                        <w:rStyle w:val="11"/>
                        <w:rFonts w:hint="eastAsia" w:ascii="仿宋_GB2312" w:hAnsi="仿宋_GB2312" w:eastAsia="仿宋_GB2312" w:cs="仿宋_GB2312"/>
                        <w:sz w:val="24"/>
                        <w:szCs w:val="24"/>
                      </w:rPr>
                      <w:instrText xml:space="preserve"> PAGE  </w:instrText>
                    </w:r>
                    <w:r>
                      <w:rPr>
                        <w:rFonts w:hint="eastAsia" w:ascii="仿宋_GB2312" w:hAnsi="仿宋_GB2312" w:eastAsia="仿宋_GB2312" w:cs="仿宋_GB2312"/>
                        <w:sz w:val="24"/>
                        <w:szCs w:val="24"/>
                      </w:rPr>
                      <w:fldChar w:fldCharType="separate"/>
                    </w:r>
                    <w:r>
                      <w:rPr>
                        <w:rStyle w:val="11"/>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- 4 -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04C2"/>
    <w:multiLevelType w:val="singleLevel"/>
    <w:tmpl w:val="82CD04C2"/>
    <w:lvl w:ilvl="0" w:tentative="0">
      <w:start w:val="3"/>
      <w:numFmt w:val="chineseCounting"/>
      <w:suff w:val="nothing"/>
      <w:lvlText w:val="（%1）"/>
      <w:lvlJc w:val="left"/>
      <w:rPr>
        <w:rFonts w:hint="eastAsia" w:ascii="楷体_GB2312" w:hAnsi="楷体_GB2312" w:eastAsia="楷体_GB2312" w:cs="楷体_GB2312"/>
        <w:b w:val="0"/>
        <w:bCs w:val="0"/>
        <w:sz w:val="32"/>
        <w:szCs w:val="32"/>
      </w:rPr>
    </w:lvl>
  </w:abstractNum>
  <w:abstractNum w:abstractNumId="1">
    <w:nsid w:val="321DA99D"/>
    <w:multiLevelType w:val="singleLevel"/>
    <w:tmpl w:val="321DA99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72F66"/>
    <w:rsid w:val="082D382F"/>
    <w:rsid w:val="0BF74B7C"/>
    <w:rsid w:val="0F72178D"/>
    <w:rsid w:val="1A2E2E40"/>
    <w:rsid w:val="1B6D668B"/>
    <w:rsid w:val="40DF0EC4"/>
    <w:rsid w:val="46A72F66"/>
    <w:rsid w:val="479D63FC"/>
    <w:rsid w:val="59FC2FD9"/>
    <w:rsid w:val="6BD34768"/>
    <w:rsid w:val="78AB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hint="default" w:ascii="Calibri" w:hAnsi="Calibri" w:eastAsia="宋体" w:cs="Times New Roman"/>
      <w:kern w:val="2"/>
      <w:sz w:val="21"/>
      <w:lang w:val="en-US" w:eastAsia="zh-CN"/>
    </w:rPr>
  </w:style>
  <w:style w:type="paragraph" w:styleId="3">
    <w:name w:val="Body Text"/>
    <w:basedOn w:val="1"/>
    <w:next w:val="1"/>
    <w:unhideWhenUsed/>
    <w:qFormat/>
    <w:uiPriority w:val="0"/>
    <w:rPr>
      <w:rFonts w:hint="eastAsi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w:qFormat/>
    <w:uiPriority w:val="0"/>
    <w:pPr>
      <w:widowControl w:val="0"/>
      <w:jc w:val="both"/>
    </w:pPr>
    <w:rPr>
      <w:rFonts w:ascii="仿宋_GB2312" w:eastAsia="仿宋_GB2312" w:hAnsiTheme="minorHAnsi" w:cstheme="minorBidi"/>
      <w:kern w:val="2"/>
      <w:sz w:val="32"/>
      <w:szCs w:val="32"/>
      <w:lang w:val="en-US" w:eastAsia="zh-CN" w:bidi="ar-SA"/>
    </w:rPr>
  </w:style>
  <w:style w:type="paragraph" w:customStyle="1" w:styleId="9">
    <w:name w:val="正文 New New New New New New New New New New New New New"/>
    <w:qFormat/>
    <w:uiPriority w:val="0"/>
    <w:pPr>
      <w:widowControl w:val="0"/>
      <w:jc w:val="both"/>
    </w:pPr>
    <w:rPr>
      <w:rFonts w:ascii="Times New Roman" w:hAnsi="Times New Roman" w:eastAsia="宋体" w:cstheme="minorBidi"/>
      <w:kern w:val="2"/>
      <w:sz w:val="21"/>
      <w:szCs w:val="22"/>
      <w:lang w:val="en-US" w:eastAsia="zh-CN" w:bidi="ar-SA"/>
    </w:rPr>
  </w:style>
  <w:style w:type="paragraph" w:customStyle="1" w:styleId="10">
    <w:name w:val="正文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页码 New"/>
    <w:basedOn w:val="7"/>
    <w:qFormat/>
    <w:uiPriority w:val="0"/>
  </w:style>
  <w:style w:type="paragraph" w:customStyle="1" w:styleId="12">
    <w:name w:val=" Char Char Char Char"/>
    <w:basedOn w:val="13"/>
    <w:qFormat/>
    <w:uiPriority w:val="0"/>
    <w:pPr>
      <w:tabs>
        <w:tab w:val="left" w:pos="425"/>
      </w:tabs>
      <w:ind w:left="425" w:hanging="425"/>
    </w:pPr>
  </w:style>
  <w:style w:type="paragraph" w:customStyle="1" w:styleId="13">
    <w:name w:val="正文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2024-09-09T08:23:00Z</dcterms:created>
  <dc:creator>240541</dc:creator>
  <cp:lastModifiedBy>240541</cp:lastModifiedBy>
  <dcterms:modified xsi:type="dcterms:W3CDTF">2024-09-11T00:53:09Z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